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50492" w14:textId="77777777" w:rsidR="005555A0" w:rsidRPr="00A23B2C" w:rsidRDefault="005555A0" w:rsidP="005555A0">
      <w:pPr>
        <w:pStyle w:val="Overskrift"/>
        <w:spacing w:after="240"/>
        <w:jc w:val="center"/>
        <w:outlineLvl w:val="0"/>
        <w:rPr>
          <w:sz w:val="20"/>
          <w:szCs w:val="20"/>
        </w:rPr>
      </w:pPr>
      <w:bookmarkStart w:id="0" w:name="_Toc475954658"/>
      <w:bookmarkStart w:id="1" w:name="_Toc69984227"/>
      <w:r w:rsidRPr="00A23B2C">
        <w:rPr>
          <w:sz w:val="20"/>
          <w:szCs w:val="20"/>
        </w:rPr>
        <w:t>INVESTOR RELATION POLICY</w:t>
      </w:r>
      <w:bookmarkEnd w:id="0"/>
      <w:bookmarkEnd w:id="1"/>
      <w:r w:rsidRPr="00A23B2C">
        <w:rPr>
          <w:sz w:val="20"/>
          <w:szCs w:val="20"/>
        </w:rPr>
        <w:t xml:space="preserve"> </w:t>
      </w:r>
    </w:p>
    <w:p w14:paraId="02DD339B" w14:textId="77777777" w:rsidR="005555A0" w:rsidRPr="00205C90" w:rsidRDefault="005555A0" w:rsidP="005555A0">
      <w:pPr>
        <w:pStyle w:val="BodyText"/>
        <w:jc w:val="center"/>
        <w:rPr>
          <w:i/>
          <w:iCs/>
          <w:sz w:val="12"/>
          <w:szCs w:val="12"/>
          <w:lang w:val="en-GB"/>
        </w:rPr>
      </w:pPr>
      <w:r w:rsidRPr="00205C90">
        <w:rPr>
          <w:i/>
          <w:iCs/>
          <w:sz w:val="12"/>
          <w:szCs w:val="12"/>
          <w:lang w:val="en-GB"/>
        </w:rPr>
        <w:t xml:space="preserve">Effective as of </w:t>
      </w:r>
      <w:r>
        <w:rPr>
          <w:i/>
          <w:iCs/>
          <w:sz w:val="12"/>
          <w:szCs w:val="12"/>
          <w:lang w:val="en-GB"/>
        </w:rPr>
        <w:t>3 June 2021</w:t>
      </w:r>
      <w:r w:rsidRPr="00205C90">
        <w:rPr>
          <w:i/>
          <w:iCs/>
          <w:sz w:val="12"/>
          <w:szCs w:val="12"/>
          <w:lang w:val="en-GB"/>
        </w:rPr>
        <w:t>, being the date of submission of the Company's listing application to Oslo Børs</w:t>
      </w:r>
    </w:p>
    <w:p w14:paraId="7B116E43" w14:textId="77777777" w:rsidR="005555A0" w:rsidRPr="00205C90" w:rsidRDefault="005555A0" w:rsidP="005555A0">
      <w:pPr>
        <w:pStyle w:val="BodyText"/>
        <w:jc w:val="both"/>
        <w:rPr>
          <w:i/>
          <w:iCs/>
          <w:szCs w:val="16"/>
          <w:lang w:val="en-GB"/>
        </w:rPr>
      </w:pPr>
      <w:r w:rsidRPr="00205C90">
        <w:rPr>
          <w:i/>
          <w:iCs/>
          <w:szCs w:val="16"/>
          <w:lang w:val="en-GB"/>
        </w:rPr>
        <w:t>Komplett ASA's (the "</w:t>
      </w:r>
      <w:r w:rsidRPr="00205C90">
        <w:rPr>
          <w:b/>
          <w:bCs/>
          <w:i/>
          <w:iCs/>
          <w:szCs w:val="16"/>
          <w:lang w:val="en-GB"/>
        </w:rPr>
        <w:t>Komplett</w:t>
      </w:r>
      <w:r w:rsidRPr="00205C90">
        <w:rPr>
          <w:i/>
          <w:iCs/>
          <w:szCs w:val="16"/>
          <w:lang w:val="en-GB"/>
        </w:rPr>
        <w:t>" or the "</w:t>
      </w:r>
      <w:r w:rsidRPr="00205C90">
        <w:rPr>
          <w:b/>
          <w:bCs/>
          <w:i/>
          <w:iCs/>
          <w:szCs w:val="16"/>
          <w:lang w:val="en-GB"/>
        </w:rPr>
        <w:t>Company</w:t>
      </w:r>
      <w:r w:rsidRPr="00205C90">
        <w:rPr>
          <w:i/>
          <w:iCs/>
          <w:szCs w:val="16"/>
          <w:lang w:val="en-GB"/>
        </w:rPr>
        <w:t>") investor relations policy (the "</w:t>
      </w:r>
      <w:r w:rsidRPr="00205C90">
        <w:rPr>
          <w:b/>
          <w:bCs/>
          <w:i/>
          <w:iCs/>
          <w:szCs w:val="16"/>
          <w:lang w:val="en-GB"/>
        </w:rPr>
        <w:t>IR Policy</w:t>
      </w:r>
      <w:r w:rsidRPr="00205C90">
        <w:rPr>
          <w:i/>
          <w:iCs/>
          <w:szCs w:val="16"/>
          <w:lang w:val="en-GB"/>
        </w:rPr>
        <w:t>") is based on Oslo Børs' rules, regulations and recommendations for listed companies, in particular the Oslo Børs Code of Practice for IR, last amended on 1 July 2019 (the "</w:t>
      </w:r>
      <w:r w:rsidRPr="00205C90">
        <w:rPr>
          <w:b/>
          <w:bCs/>
          <w:i/>
          <w:iCs/>
          <w:szCs w:val="16"/>
          <w:lang w:val="en-GB"/>
        </w:rPr>
        <w:t>IR Code</w:t>
      </w:r>
      <w:r w:rsidRPr="00205C90">
        <w:rPr>
          <w:i/>
          <w:iCs/>
          <w:szCs w:val="16"/>
          <w:lang w:val="en-GB"/>
        </w:rPr>
        <w:t>").</w:t>
      </w:r>
    </w:p>
    <w:p w14:paraId="66BFFFF1" w14:textId="77777777" w:rsidR="005555A0" w:rsidRPr="00A23B2C" w:rsidRDefault="005555A0" w:rsidP="005555A0">
      <w:pPr>
        <w:pStyle w:val="Heading1"/>
        <w:numPr>
          <w:ilvl w:val="0"/>
          <w:numId w:val="3"/>
        </w:numPr>
        <w:tabs>
          <w:tab w:val="num" w:pos="360"/>
        </w:tabs>
        <w:rPr>
          <w:szCs w:val="28"/>
        </w:rPr>
      </w:pPr>
      <w:bookmarkStart w:id="2" w:name="_Toc477935935"/>
      <w:bookmarkStart w:id="3" w:name="_Toc69984228"/>
      <w:r w:rsidRPr="00A23B2C">
        <w:rPr>
          <w:szCs w:val="28"/>
        </w:rPr>
        <w:t>Purpose</w:t>
      </w:r>
      <w:bookmarkEnd w:id="2"/>
      <w:bookmarkEnd w:id="3"/>
    </w:p>
    <w:tbl>
      <w:tblPr>
        <w:tblStyle w:val="TableGrid"/>
        <w:tblW w:w="0" w:type="auto"/>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insideH w:val="single" w:sz="12" w:space="0" w:color="E7E6E6" w:themeColor="background2"/>
          <w:insideV w:val="single" w:sz="12" w:space="0" w:color="E7E6E6" w:themeColor="background2"/>
        </w:tblBorders>
        <w:tblLook w:val="04A0" w:firstRow="1" w:lastRow="0" w:firstColumn="1" w:lastColumn="0" w:noHBand="0" w:noVBand="1"/>
      </w:tblPr>
      <w:tblGrid>
        <w:gridCol w:w="1121"/>
        <w:gridCol w:w="7875"/>
      </w:tblGrid>
      <w:tr w:rsidR="005555A0" w:rsidRPr="00DC1950" w14:paraId="61AA208C" w14:textId="77777777" w:rsidTr="002E7096">
        <w:tc>
          <w:tcPr>
            <w:tcW w:w="112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ECABE34" w14:textId="77777777" w:rsidR="005555A0" w:rsidRPr="00EC23A7" w:rsidRDefault="005555A0" w:rsidP="002E7096">
            <w:pPr>
              <w:spacing w:after="200" w:line="276" w:lineRule="auto"/>
              <w:jc w:val="both"/>
              <w:rPr>
                <w:rFonts w:ascii="Verdana" w:hAnsi="Verdana"/>
                <w:sz w:val="16"/>
                <w:lang w:val="en-US"/>
              </w:rPr>
            </w:pPr>
            <w:r w:rsidRPr="00EC23A7">
              <w:rPr>
                <w:rFonts w:ascii="Verdana" w:hAnsi="Verdana"/>
                <w:noProof/>
                <w:sz w:val="16"/>
              </w:rPr>
              <mc:AlternateContent>
                <mc:Choice Requires="wps">
                  <w:drawing>
                    <wp:anchor distT="0" distB="0" distL="114300" distR="114300" simplePos="0" relativeHeight="251659264" behindDoc="0" locked="0" layoutInCell="1" allowOverlap="1" wp14:anchorId="1CE3E64F" wp14:editId="6E072D9A">
                      <wp:simplePos x="0" y="0"/>
                      <wp:positionH relativeFrom="column">
                        <wp:posOffset>66040</wp:posOffset>
                      </wp:positionH>
                      <wp:positionV relativeFrom="paragraph">
                        <wp:posOffset>216535</wp:posOffset>
                      </wp:positionV>
                      <wp:extent cx="458753" cy="499231"/>
                      <wp:effectExtent l="0" t="0" r="17780" b="15240"/>
                      <wp:wrapSquare wrapText="bothSides"/>
                      <wp:docPr id="11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8753" cy="499231"/>
                              </a:xfrm>
                              <a:custGeom>
                                <a:avLst/>
                                <a:gdLst>
                                  <a:gd name="T0" fmla="*/ 33 w 1428"/>
                                  <a:gd name="T1" fmla="*/ 681 h 1554"/>
                                  <a:gd name="T2" fmla="*/ 33 w 1428"/>
                                  <a:gd name="T3" fmla="*/ 747 h 1554"/>
                                  <a:gd name="T4" fmla="*/ 209 w 1428"/>
                                  <a:gd name="T5" fmla="*/ 708 h 1554"/>
                                  <a:gd name="T6" fmla="*/ 1083 w 1428"/>
                                  <a:gd name="T7" fmla="*/ 141 h 1554"/>
                                  <a:gd name="T8" fmla="*/ 1026 w 1428"/>
                                  <a:gd name="T9" fmla="*/ 108 h 1554"/>
                                  <a:gd name="T10" fmla="*/ 997 w 1428"/>
                                  <a:gd name="T11" fmla="*/ 290 h 1554"/>
                                  <a:gd name="T12" fmla="*/ 488 w 1428"/>
                                  <a:gd name="T13" fmla="*/ 257 h 1554"/>
                                  <a:gd name="T14" fmla="*/ 374 w 1428"/>
                                  <a:gd name="T15" fmla="*/ 91 h 1554"/>
                                  <a:gd name="T16" fmla="*/ 345 w 1428"/>
                                  <a:gd name="T17" fmla="*/ 108 h 1554"/>
                                  <a:gd name="T18" fmla="*/ 488 w 1428"/>
                                  <a:gd name="T19" fmla="*/ 257 h 1554"/>
                                  <a:gd name="T20" fmla="*/ 92 w 1428"/>
                                  <a:gd name="T21" fmla="*/ 365 h 1554"/>
                                  <a:gd name="T22" fmla="*/ 260 w 1428"/>
                                  <a:gd name="T23" fmla="*/ 490 h 1554"/>
                                  <a:gd name="T24" fmla="*/ 124 w 1428"/>
                                  <a:gd name="T25" fmla="*/ 341 h 1554"/>
                                  <a:gd name="T26" fmla="*/ 747 w 1428"/>
                                  <a:gd name="T27" fmla="*/ 33 h 1554"/>
                                  <a:gd name="T28" fmla="*/ 681 w 1428"/>
                                  <a:gd name="T29" fmla="*/ 33 h 1554"/>
                                  <a:gd name="T30" fmla="*/ 714 w 1428"/>
                                  <a:gd name="T31" fmla="*/ 204 h 1554"/>
                                  <a:gd name="T32" fmla="*/ 1395 w 1428"/>
                                  <a:gd name="T33" fmla="*/ 681 h 1554"/>
                                  <a:gd name="T34" fmla="*/ 1219 w 1428"/>
                                  <a:gd name="T35" fmla="*/ 708 h 1554"/>
                                  <a:gd name="T36" fmla="*/ 1395 w 1428"/>
                                  <a:gd name="T37" fmla="*/ 747 h 1554"/>
                                  <a:gd name="T38" fmla="*/ 1395 w 1428"/>
                                  <a:gd name="T39" fmla="*/ 681 h 1554"/>
                                  <a:gd name="T40" fmla="*/ 1304 w 1428"/>
                                  <a:gd name="T41" fmla="*/ 341 h 1554"/>
                                  <a:gd name="T42" fmla="*/ 1168 w 1428"/>
                                  <a:gd name="T43" fmla="*/ 490 h 1554"/>
                                  <a:gd name="T44" fmla="*/ 1336 w 1428"/>
                                  <a:gd name="T45" fmla="*/ 365 h 1554"/>
                                  <a:gd name="T46" fmla="*/ 290 w 1428"/>
                                  <a:gd name="T47" fmla="*/ 708 h 1554"/>
                                  <a:gd name="T48" fmla="*/ 543 w 1428"/>
                                  <a:gd name="T49" fmla="*/ 1202 h 1554"/>
                                  <a:gd name="T50" fmla="*/ 515 w 1428"/>
                                  <a:gd name="T51" fmla="*/ 1459 h 1554"/>
                                  <a:gd name="T52" fmla="*/ 621 w 1428"/>
                                  <a:gd name="T53" fmla="*/ 1492 h 1554"/>
                                  <a:gd name="T54" fmla="*/ 677 w 1428"/>
                                  <a:gd name="T55" fmla="*/ 1554 h 1554"/>
                                  <a:gd name="T56" fmla="*/ 779 w 1428"/>
                                  <a:gd name="T57" fmla="*/ 1538 h 1554"/>
                                  <a:gd name="T58" fmla="*/ 880 w 1428"/>
                                  <a:gd name="T59" fmla="*/ 1492 h 1554"/>
                                  <a:gd name="T60" fmla="*/ 913 w 1428"/>
                                  <a:gd name="T61" fmla="*/ 1234 h 1554"/>
                                  <a:gd name="T62" fmla="*/ 885 w 1428"/>
                                  <a:gd name="T63" fmla="*/ 1097 h 1554"/>
                                  <a:gd name="T64" fmla="*/ 714 w 1428"/>
                                  <a:gd name="T65" fmla="*/ 284 h 1554"/>
                                  <a:gd name="T66" fmla="*/ 581 w 1428"/>
                                  <a:gd name="T67" fmla="*/ 1426 h 1554"/>
                                  <a:gd name="T68" fmla="*/ 847 w 1428"/>
                                  <a:gd name="T69" fmla="*/ 1365 h 1554"/>
                                  <a:gd name="T70" fmla="*/ 847 w 1428"/>
                                  <a:gd name="T71" fmla="*/ 1332 h 1554"/>
                                  <a:gd name="T72" fmla="*/ 581 w 1428"/>
                                  <a:gd name="T73" fmla="*/ 1266 h 1554"/>
                                  <a:gd name="T74" fmla="*/ 847 w 1428"/>
                                  <a:gd name="T75" fmla="*/ 1332 h 1554"/>
                                  <a:gd name="T76" fmla="*/ 819 w 1428"/>
                                  <a:gd name="T77" fmla="*/ 1074 h 1554"/>
                                  <a:gd name="T78" fmla="*/ 609 w 1428"/>
                                  <a:gd name="T79" fmla="*/ 1201 h 1554"/>
                                  <a:gd name="T80" fmla="*/ 588 w 1428"/>
                                  <a:gd name="T81" fmla="*/ 1044 h 1554"/>
                                  <a:gd name="T82" fmla="*/ 714 w 1428"/>
                                  <a:gd name="T83" fmla="*/ 350 h 1554"/>
                                  <a:gd name="T84" fmla="*/ 840 w 1428"/>
                                  <a:gd name="T85" fmla="*/ 1044 h 1554"/>
                                  <a:gd name="T86" fmla="*/ 703 w 1428"/>
                                  <a:gd name="T87" fmla="*/ 695 h 1554"/>
                                  <a:gd name="T88" fmla="*/ 721 w 1428"/>
                                  <a:gd name="T89" fmla="*/ 505 h 1554"/>
                                  <a:gd name="T90" fmla="*/ 613 w 1428"/>
                                  <a:gd name="T91" fmla="*/ 763 h 1554"/>
                                  <a:gd name="T92" fmla="*/ 632 w 1428"/>
                                  <a:gd name="T93" fmla="*/ 784 h 1554"/>
                                  <a:gd name="T94" fmla="*/ 700 w 1428"/>
                                  <a:gd name="T95" fmla="*/ 967 h 1554"/>
                                  <a:gd name="T96" fmla="*/ 717 w 1428"/>
                                  <a:gd name="T97" fmla="*/ 986 h 1554"/>
                                  <a:gd name="T98" fmla="*/ 816 w 1428"/>
                                  <a:gd name="T99" fmla="*/ 694 h 1554"/>
                                  <a:gd name="T100" fmla="*/ 796 w 1428"/>
                                  <a:gd name="T101" fmla="*/ 674 h 1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8" h="1554">
                                    <a:moveTo>
                                      <a:pt x="211" y="681"/>
                                    </a:moveTo>
                                    <a:cubicBezTo>
                                      <a:pt x="33" y="681"/>
                                      <a:pt x="33" y="681"/>
                                      <a:pt x="33" y="681"/>
                                    </a:cubicBezTo>
                                    <a:cubicBezTo>
                                      <a:pt x="15" y="681"/>
                                      <a:pt x="0" y="696"/>
                                      <a:pt x="0" y="714"/>
                                    </a:cubicBezTo>
                                    <a:cubicBezTo>
                                      <a:pt x="0" y="732"/>
                                      <a:pt x="15" y="747"/>
                                      <a:pt x="33" y="747"/>
                                    </a:cubicBezTo>
                                    <a:cubicBezTo>
                                      <a:pt x="211" y="747"/>
                                      <a:pt x="211" y="747"/>
                                      <a:pt x="211" y="747"/>
                                    </a:cubicBezTo>
                                    <a:cubicBezTo>
                                      <a:pt x="210" y="734"/>
                                      <a:pt x="209" y="721"/>
                                      <a:pt x="209" y="708"/>
                                    </a:cubicBezTo>
                                    <a:cubicBezTo>
                                      <a:pt x="209" y="699"/>
                                      <a:pt x="210" y="690"/>
                                      <a:pt x="211" y="681"/>
                                    </a:cubicBezTo>
                                    <a:close/>
                                    <a:moveTo>
                                      <a:pt x="1083" y="141"/>
                                    </a:moveTo>
                                    <a:cubicBezTo>
                                      <a:pt x="1092" y="125"/>
                                      <a:pt x="1087" y="105"/>
                                      <a:pt x="1071" y="96"/>
                                    </a:cubicBezTo>
                                    <a:cubicBezTo>
                                      <a:pt x="1055" y="87"/>
                                      <a:pt x="1035" y="92"/>
                                      <a:pt x="1026" y="108"/>
                                    </a:cubicBezTo>
                                    <a:cubicBezTo>
                                      <a:pt x="940" y="257"/>
                                      <a:pt x="940" y="257"/>
                                      <a:pt x="940" y="257"/>
                                    </a:cubicBezTo>
                                    <a:cubicBezTo>
                                      <a:pt x="959" y="267"/>
                                      <a:pt x="979" y="278"/>
                                      <a:pt x="997" y="290"/>
                                    </a:cubicBezTo>
                                    <a:lnTo>
                                      <a:pt x="1083" y="141"/>
                                    </a:lnTo>
                                    <a:close/>
                                    <a:moveTo>
                                      <a:pt x="488" y="257"/>
                                    </a:moveTo>
                                    <a:cubicBezTo>
                                      <a:pt x="439" y="171"/>
                                      <a:pt x="403" y="110"/>
                                      <a:pt x="402" y="108"/>
                                    </a:cubicBezTo>
                                    <a:cubicBezTo>
                                      <a:pt x="396" y="98"/>
                                      <a:pt x="385" y="91"/>
                                      <a:pt x="374" y="91"/>
                                    </a:cubicBezTo>
                                    <a:cubicBezTo>
                                      <a:pt x="373" y="91"/>
                                      <a:pt x="373" y="91"/>
                                      <a:pt x="373" y="91"/>
                                    </a:cubicBezTo>
                                    <a:cubicBezTo>
                                      <a:pt x="362" y="91"/>
                                      <a:pt x="351" y="98"/>
                                      <a:pt x="345" y="108"/>
                                    </a:cubicBezTo>
                                    <a:cubicBezTo>
                                      <a:pt x="338" y="120"/>
                                      <a:pt x="336" y="123"/>
                                      <a:pt x="432" y="290"/>
                                    </a:cubicBezTo>
                                    <a:cubicBezTo>
                                      <a:pt x="450" y="278"/>
                                      <a:pt x="469" y="267"/>
                                      <a:pt x="488" y="257"/>
                                    </a:cubicBezTo>
                                    <a:close/>
                                    <a:moveTo>
                                      <a:pt x="124" y="341"/>
                                    </a:moveTo>
                                    <a:cubicBezTo>
                                      <a:pt x="109" y="341"/>
                                      <a:pt x="96" y="351"/>
                                      <a:pt x="92" y="365"/>
                                    </a:cubicBezTo>
                                    <a:cubicBezTo>
                                      <a:pt x="89" y="380"/>
                                      <a:pt x="95" y="395"/>
                                      <a:pt x="108" y="402"/>
                                    </a:cubicBezTo>
                                    <a:cubicBezTo>
                                      <a:pt x="109" y="403"/>
                                      <a:pt x="171" y="439"/>
                                      <a:pt x="260" y="490"/>
                                    </a:cubicBezTo>
                                    <a:cubicBezTo>
                                      <a:pt x="269" y="470"/>
                                      <a:pt x="280" y="451"/>
                                      <a:pt x="292" y="433"/>
                                    </a:cubicBezTo>
                                    <a:cubicBezTo>
                                      <a:pt x="132" y="341"/>
                                      <a:pt x="129" y="341"/>
                                      <a:pt x="124" y="341"/>
                                    </a:cubicBezTo>
                                    <a:close/>
                                    <a:moveTo>
                                      <a:pt x="747" y="205"/>
                                    </a:moveTo>
                                    <a:cubicBezTo>
                                      <a:pt x="747" y="33"/>
                                      <a:pt x="747" y="33"/>
                                      <a:pt x="747" y="33"/>
                                    </a:cubicBezTo>
                                    <a:cubicBezTo>
                                      <a:pt x="747" y="15"/>
                                      <a:pt x="732" y="0"/>
                                      <a:pt x="714" y="0"/>
                                    </a:cubicBezTo>
                                    <a:cubicBezTo>
                                      <a:pt x="696" y="0"/>
                                      <a:pt x="681" y="15"/>
                                      <a:pt x="681" y="33"/>
                                    </a:cubicBezTo>
                                    <a:cubicBezTo>
                                      <a:pt x="681" y="205"/>
                                      <a:pt x="681" y="205"/>
                                      <a:pt x="681" y="205"/>
                                    </a:cubicBezTo>
                                    <a:cubicBezTo>
                                      <a:pt x="692" y="205"/>
                                      <a:pt x="703" y="204"/>
                                      <a:pt x="714" y="204"/>
                                    </a:cubicBezTo>
                                    <a:cubicBezTo>
                                      <a:pt x="725" y="204"/>
                                      <a:pt x="736" y="205"/>
                                      <a:pt x="747" y="205"/>
                                    </a:cubicBezTo>
                                    <a:close/>
                                    <a:moveTo>
                                      <a:pt x="1395" y="681"/>
                                    </a:moveTo>
                                    <a:cubicBezTo>
                                      <a:pt x="1217" y="681"/>
                                      <a:pt x="1217" y="681"/>
                                      <a:pt x="1217" y="681"/>
                                    </a:cubicBezTo>
                                    <a:cubicBezTo>
                                      <a:pt x="1218" y="690"/>
                                      <a:pt x="1219" y="699"/>
                                      <a:pt x="1219" y="708"/>
                                    </a:cubicBezTo>
                                    <a:cubicBezTo>
                                      <a:pt x="1219" y="721"/>
                                      <a:pt x="1218" y="734"/>
                                      <a:pt x="1217" y="747"/>
                                    </a:cubicBezTo>
                                    <a:cubicBezTo>
                                      <a:pt x="1395" y="747"/>
                                      <a:pt x="1395" y="747"/>
                                      <a:pt x="1395" y="747"/>
                                    </a:cubicBezTo>
                                    <a:cubicBezTo>
                                      <a:pt x="1413" y="747"/>
                                      <a:pt x="1428" y="732"/>
                                      <a:pt x="1428" y="714"/>
                                    </a:cubicBezTo>
                                    <a:cubicBezTo>
                                      <a:pt x="1428" y="696"/>
                                      <a:pt x="1413" y="681"/>
                                      <a:pt x="1395" y="681"/>
                                    </a:cubicBezTo>
                                    <a:close/>
                                    <a:moveTo>
                                      <a:pt x="1336" y="365"/>
                                    </a:moveTo>
                                    <a:cubicBezTo>
                                      <a:pt x="1332" y="351"/>
                                      <a:pt x="1319" y="341"/>
                                      <a:pt x="1304" y="341"/>
                                    </a:cubicBezTo>
                                    <a:cubicBezTo>
                                      <a:pt x="1299" y="341"/>
                                      <a:pt x="1297" y="341"/>
                                      <a:pt x="1136" y="433"/>
                                    </a:cubicBezTo>
                                    <a:cubicBezTo>
                                      <a:pt x="1148" y="451"/>
                                      <a:pt x="1159" y="470"/>
                                      <a:pt x="1168" y="490"/>
                                    </a:cubicBezTo>
                                    <a:cubicBezTo>
                                      <a:pt x="1257" y="439"/>
                                      <a:pt x="1319" y="403"/>
                                      <a:pt x="1320" y="402"/>
                                    </a:cubicBezTo>
                                    <a:cubicBezTo>
                                      <a:pt x="1333" y="395"/>
                                      <a:pt x="1340" y="380"/>
                                      <a:pt x="1336" y="365"/>
                                    </a:cubicBezTo>
                                    <a:close/>
                                    <a:moveTo>
                                      <a:pt x="714" y="284"/>
                                    </a:moveTo>
                                    <a:cubicBezTo>
                                      <a:pt x="480" y="284"/>
                                      <a:pt x="290" y="474"/>
                                      <a:pt x="290" y="708"/>
                                    </a:cubicBezTo>
                                    <a:cubicBezTo>
                                      <a:pt x="290" y="876"/>
                                      <a:pt x="391" y="1029"/>
                                      <a:pt x="543" y="1097"/>
                                    </a:cubicBezTo>
                                    <a:cubicBezTo>
                                      <a:pt x="543" y="1202"/>
                                      <a:pt x="543" y="1202"/>
                                      <a:pt x="543" y="1202"/>
                                    </a:cubicBezTo>
                                    <a:cubicBezTo>
                                      <a:pt x="528" y="1204"/>
                                      <a:pt x="515" y="1217"/>
                                      <a:pt x="515" y="1234"/>
                                    </a:cubicBezTo>
                                    <a:cubicBezTo>
                                      <a:pt x="515" y="1459"/>
                                      <a:pt x="515" y="1459"/>
                                      <a:pt x="515" y="1459"/>
                                    </a:cubicBezTo>
                                    <a:cubicBezTo>
                                      <a:pt x="515" y="1477"/>
                                      <a:pt x="530" y="1492"/>
                                      <a:pt x="548" y="1492"/>
                                    </a:cubicBezTo>
                                    <a:cubicBezTo>
                                      <a:pt x="621" y="1492"/>
                                      <a:pt x="621" y="1492"/>
                                      <a:pt x="621" y="1492"/>
                                    </a:cubicBezTo>
                                    <a:cubicBezTo>
                                      <a:pt x="649" y="1538"/>
                                      <a:pt x="649" y="1538"/>
                                      <a:pt x="649" y="1538"/>
                                    </a:cubicBezTo>
                                    <a:cubicBezTo>
                                      <a:pt x="654" y="1547"/>
                                      <a:pt x="665" y="1554"/>
                                      <a:pt x="677" y="1554"/>
                                    </a:cubicBezTo>
                                    <a:cubicBezTo>
                                      <a:pt x="751" y="1554"/>
                                      <a:pt x="751" y="1554"/>
                                      <a:pt x="751" y="1554"/>
                                    </a:cubicBezTo>
                                    <a:cubicBezTo>
                                      <a:pt x="763" y="1554"/>
                                      <a:pt x="774" y="1547"/>
                                      <a:pt x="779" y="1538"/>
                                    </a:cubicBezTo>
                                    <a:cubicBezTo>
                                      <a:pt x="807" y="1492"/>
                                      <a:pt x="807" y="1492"/>
                                      <a:pt x="807" y="1492"/>
                                    </a:cubicBezTo>
                                    <a:cubicBezTo>
                                      <a:pt x="880" y="1492"/>
                                      <a:pt x="880" y="1492"/>
                                      <a:pt x="880" y="1492"/>
                                    </a:cubicBezTo>
                                    <a:cubicBezTo>
                                      <a:pt x="898" y="1492"/>
                                      <a:pt x="913" y="1477"/>
                                      <a:pt x="913" y="1459"/>
                                    </a:cubicBezTo>
                                    <a:cubicBezTo>
                                      <a:pt x="913" y="1234"/>
                                      <a:pt x="913" y="1234"/>
                                      <a:pt x="913" y="1234"/>
                                    </a:cubicBezTo>
                                    <a:cubicBezTo>
                                      <a:pt x="913" y="1217"/>
                                      <a:pt x="900" y="1204"/>
                                      <a:pt x="885" y="1202"/>
                                    </a:cubicBezTo>
                                    <a:cubicBezTo>
                                      <a:pt x="885" y="1097"/>
                                      <a:pt x="885" y="1097"/>
                                      <a:pt x="885" y="1097"/>
                                    </a:cubicBezTo>
                                    <a:cubicBezTo>
                                      <a:pt x="1037" y="1029"/>
                                      <a:pt x="1138" y="876"/>
                                      <a:pt x="1138" y="708"/>
                                    </a:cubicBezTo>
                                    <a:cubicBezTo>
                                      <a:pt x="1138" y="474"/>
                                      <a:pt x="948" y="284"/>
                                      <a:pt x="714" y="284"/>
                                    </a:cubicBezTo>
                                    <a:close/>
                                    <a:moveTo>
                                      <a:pt x="847" y="1426"/>
                                    </a:moveTo>
                                    <a:cubicBezTo>
                                      <a:pt x="581" y="1426"/>
                                      <a:pt x="581" y="1426"/>
                                      <a:pt x="581" y="1426"/>
                                    </a:cubicBezTo>
                                    <a:cubicBezTo>
                                      <a:pt x="581" y="1365"/>
                                      <a:pt x="581" y="1365"/>
                                      <a:pt x="581" y="1365"/>
                                    </a:cubicBezTo>
                                    <a:cubicBezTo>
                                      <a:pt x="847" y="1365"/>
                                      <a:pt x="847" y="1365"/>
                                      <a:pt x="847" y="1365"/>
                                    </a:cubicBezTo>
                                    <a:lnTo>
                                      <a:pt x="847" y="1426"/>
                                    </a:lnTo>
                                    <a:close/>
                                    <a:moveTo>
                                      <a:pt x="847" y="1332"/>
                                    </a:moveTo>
                                    <a:cubicBezTo>
                                      <a:pt x="581" y="1332"/>
                                      <a:pt x="581" y="1332"/>
                                      <a:pt x="581" y="1332"/>
                                    </a:cubicBezTo>
                                    <a:cubicBezTo>
                                      <a:pt x="581" y="1266"/>
                                      <a:pt x="581" y="1266"/>
                                      <a:pt x="581" y="1266"/>
                                    </a:cubicBezTo>
                                    <a:cubicBezTo>
                                      <a:pt x="847" y="1266"/>
                                      <a:pt x="847" y="1266"/>
                                      <a:pt x="847" y="1266"/>
                                    </a:cubicBezTo>
                                    <a:lnTo>
                                      <a:pt x="847" y="1332"/>
                                    </a:lnTo>
                                    <a:close/>
                                    <a:moveTo>
                                      <a:pt x="840" y="1044"/>
                                    </a:moveTo>
                                    <a:cubicBezTo>
                                      <a:pt x="827" y="1049"/>
                                      <a:pt x="819" y="1061"/>
                                      <a:pt x="819" y="1074"/>
                                    </a:cubicBezTo>
                                    <a:cubicBezTo>
                                      <a:pt x="819" y="1201"/>
                                      <a:pt x="819" y="1201"/>
                                      <a:pt x="819" y="1201"/>
                                    </a:cubicBezTo>
                                    <a:cubicBezTo>
                                      <a:pt x="609" y="1201"/>
                                      <a:pt x="609" y="1201"/>
                                      <a:pt x="609" y="1201"/>
                                    </a:cubicBezTo>
                                    <a:cubicBezTo>
                                      <a:pt x="609" y="1074"/>
                                      <a:pt x="609" y="1074"/>
                                      <a:pt x="609" y="1074"/>
                                    </a:cubicBezTo>
                                    <a:cubicBezTo>
                                      <a:pt x="609" y="1061"/>
                                      <a:pt x="601" y="1049"/>
                                      <a:pt x="588" y="1044"/>
                                    </a:cubicBezTo>
                                    <a:cubicBezTo>
                                      <a:pt x="449" y="991"/>
                                      <a:pt x="355" y="857"/>
                                      <a:pt x="355" y="708"/>
                                    </a:cubicBezTo>
                                    <a:cubicBezTo>
                                      <a:pt x="355" y="511"/>
                                      <a:pt x="516" y="350"/>
                                      <a:pt x="714" y="350"/>
                                    </a:cubicBezTo>
                                    <a:cubicBezTo>
                                      <a:pt x="912" y="350"/>
                                      <a:pt x="1073" y="511"/>
                                      <a:pt x="1073" y="708"/>
                                    </a:cubicBezTo>
                                    <a:cubicBezTo>
                                      <a:pt x="1073" y="857"/>
                                      <a:pt x="979" y="991"/>
                                      <a:pt x="840" y="1044"/>
                                    </a:cubicBezTo>
                                    <a:close/>
                                    <a:moveTo>
                                      <a:pt x="796" y="674"/>
                                    </a:moveTo>
                                    <a:cubicBezTo>
                                      <a:pt x="703" y="695"/>
                                      <a:pt x="703" y="695"/>
                                      <a:pt x="703" y="695"/>
                                    </a:cubicBezTo>
                                    <a:cubicBezTo>
                                      <a:pt x="733" y="523"/>
                                      <a:pt x="733" y="523"/>
                                      <a:pt x="733" y="523"/>
                                    </a:cubicBezTo>
                                    <a:cubicBezTo>
                                      <a:pt x="734" y="515"/>
                                      <a:pt x="729" y="507"/>
                                      <a:pt x="721" y="505"/>
                                    </a:cubicBezTo>
                                    <a:cubicBezTo>
                                      <a:pt x="713" y="502"/>
                                      <a:pt x="704" y="507"/>
                                      <a:pt x="701" y="515"/>
                                    </a:cubicBezTo>
                                    <a:cubicBezTo>
                                      <a:pt x="613" y="763"/>
                                      <a:pt x="613" y="763"/>
                                      <a:pt x="613" y="763"/>
                                    </a:cubicBezTo>
                                    <a:cubicBezTo>
                                      <a:pt x="610" y="768"/>
                                      <a:pt x="612" y="775"/>
                                      <a:pt x="616" y="779"/>
                                    </a:cubicBezTo>
                                    <a:cubicBezTo>
                                      <a:pt x="620" y="784"/>
                                      <a:pt x="626" y="786"/>
                                      <a:pt x="632" y="784"/>
                                    </a:cubicBezTo>
                                    <a:cubicBezTo>
                                      <a:pt x="729" y="762"/>
                                      <a:pt x="729" y="762"/>
                                      <a:pt x="729" y="762"/>
                                    </a:cubicBezTo>
                                    <a:cubicBezTo>
                                      <a:pt x="700" y="967"/>
                                      <a:pt x="700" y="967"/>
                                      <a:pt x="700" y="967"/>
                                    </a:cubicBezTo>
                                    <a:cubicBezTo>
                                      <a:pt x="699" y="976"/>
                                      <a:pt x="705" y="984"/>
                                      <a:pt x="713" y="985"/>
                                    </a:cubicBezTo>
                                    <a:cubicBezTo>
                                      <a:pt x="714" y="986"/>
                                      <a:pt x="715" y="986"/>
                                      <a:pt x="717" y="986"/>
                                    </a:cubicBezTo>
                                    <a:cubicBezTo>
                                      <a:pt x="724" y="986"/>
                                      <a:pt x="730" y="981"/>
                                      <a:pt x="732" y="974"/>
                                    </a:cubicBezTo>
                                    <a:cubicBezTo>
                                      <a:pt x="816" y="694"/>
                                      <a:pt x="816" y="694"/>
                                      <a:pt x="816" y="694"/>
                                    </a:cubicBezTo>
                                    <a:cubicBezTo>
                                      <a:pt x="817" y="689"/>
                                      <a:pt x="816" y="683"/>
                                      <a:pt x="812" y="679"/>
                                    </a:cubicBezTo>
                                    <a:cubicBezTo>
                                      <a:pt x="808" y="674"/>
                                      <a:pt x="802" y="672"/>
                                      <a:pt x="796" y="674"/>
                                    </a:cubicBezTo>
                                    <a:close/>
                                  </a:path>
                                </a:pathLst>
                              </a:custGeom>
                              <a:solidFill>
                                <a:schemeClr val="tx1"/>
                              </a:solidFill>
                              <a:ln w="6350">
                                <a:solidFill>
                                  <a:schemeClr val="tx1"/>
                                </a:solidFill>
                              </a:ln>
                            </wps:spPr>
                            <wps:bodyPr vert="horz" wrap="square" lIns="91440" tIns="45720" rIns="91440" bIns="45720" numCol="1" anchor="t" anchorCtr="0" compatLnSpc="1">
                              <a:prstTxWarp prst="textNoShape">
                                <a:avLst/>
                              </a:prstTxWarp>
                            </wps:bodyPr>
                          </wps:wsp>
                        </a:graphicData>
                      </a:graphic>
                    </wp:anchor>
                  </w:drawing>
                </mc:Choice>
                <mc:Fallback>
                  <w:pict>
                    <v:shape w14:anchorId="5B44418F" id="Freeform 25" o:spid="_x0000_s1026" style="position:absolute;margin-left:5.2pt;margin-top:17.05pt;width:36.1pt;height:39.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428,15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" path="m211,681v-178,,-178,,-178,c15,681,,696,,714v,18,15,33,33,33c211,747,211,747,211,747v-1,-13,-2,-26,-2,-39c209,699,210,690,211,681xm1083,141v9,-16,4,-36,-12,-45c1055,87,1035,92,1026,108,940,257,940,257,940,257v19,10,39,21,57,33l1083,141xm488,257c439,171,403,110,402,108,396,98,385,91,374,91v-1,,-1,,-1,c362,91,351,98,345,108v-7,12,-9,15,87,182c450,278,469,267,488,257xm124,341v-15,,-28,10,-32,24c89,380,95,395,108,402v1,1,63,37,152,88c269,470,280,451,292,433,132,341,129,341,124,341xm747,205v,-172,,-172,,-172c747,15,732,,714,,696,,681,15,681,33v,172,,172,,172c692,205,703,204,714,204v11,,22,1,33,1xm1395,681v-178,,-178,,-178,c1218,690,1219,699,1219,708v,13,-1,26,-2,39c1395,747,1395,747,1395,747v18,,33,-15,33,-33c1428,696,1413,681,1395,681xm1336,365v-4,-14,-17,-24,-32,-24c1299,341,1297,341,1136,433v12,18,23,37,32,57c1257,439,1319,403,1320,402v13,-7,20,-22,16,-37xm714,284c480,284,290,474,290,708v,168,101,321,253,389c543,1202,543,1202,543,1202v-15,2,-28,15,-28,32c515,1459,515,1459,515,1459v,18,15,33,33,33c621,1492,621,1492,621,1492v28,46,28,46,28,46c654,1547,665,1554,677,1554v74,,74,,74,c763,1554,774,1547,779,1538v28,-46,28,-46,28,-46c880,1492,880,1492,880,1492v18,,33,-15,33,-33c913,1234,913,1234,913,1234v,-17,-13,-30,-28,-32c885,1097,885,1097,885,1097v152,-68,253,-221,253,-389c1138,474,948,284,714,284xm847,1426v-266,,-266,,-266,c581,1365,581,1365,581,1365v266,,266,,266,l847,1426xm847,1332v-266,,-266,,-266,c581,1266,581,1266,581,1266v266,,266,,266,l847,1332xm840,1044v-13,5,-21,17,-21,30c819,1201,819,1201,819,1201v-210,,-210,,-210,c609,1074,609,1074,609,1074v,-13,-8,-25,-21,-30c449,991,355,857,355,708,355,511,516,350,714,350v198,,359,161,359,358c1073,857,979,991,840,1044xm796,674v-93,21,-93,21,-93,21c733,523,733,523,733,523v1,-8,-4,-16,-12,-18c713,502,704,507,701,515,613,763,613,763,613,763v-3,5,-1,12,3,16c620,784,626,786,632,784v97,-22,97,-22,97,-22c700,967,700,967,700,967v-1,9,5,17,13,18c714,986,715,986,717,986v7,,13,-5,15,-12c816,694,816,694,816,694v1,-5,,-11,-4,-15c808,674,802,672,796,674xe" fillcolor="black [3213]" strokecolor="black [3213]" strokeweight=".5pt">
                      <v:path arrowok="t" o:connecttype="custom" o:connectlocs="10601,218775;10601,239978;67142,227449;347920,45297;329608,34696;320292,93164;156773,82563;120150,29234;110833,34696;156773,82563;29556,117258;83526,157415;39836,109548;239978,10601;218775,10601;229376,65536;448152,218775;391611,227449;448152,239978;448152,218775;418917,109548;375227,157415;429197,117258;93164,227449;174442,386149;165447,468712;199500,479313;217490,499231;250258,494091;282705,479313;293306,396429;284311,352417;229376,91237;186650,458110;272103,438514;272103,427912;186650,406709;272103,427912;263108,345028;195645,385828;188898,335391;229376,112439;269855,335391;225843,223273;231625,162234;196930,245118;203034,251864;224879,310654;230340,316758;262145,222951;255719,216526" o:connectangles="0,0,0,0,0,0,0,0,0,0,0,0,0,0,0,0,0,0,0,0,0,0,0,0,0,0,0,0,0,0,0,0,0,0,0,0,0,0,0,0,0,0,0,0,0,0,0,0,0,0,0"/>
                      <o:lock v:ext="edit" verticies="t"/>
                      <w10:wrap type="square"/>
                    </v:shape>
                  </w:pict>
                </mc:Fallback>
              </mc:AlternateContent>
            </w:r>
          </w:p>
        </w:tc>
        <w:tc>
          <w:tcPr>
            <w:tcW w:w="791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2EFC22E" w14:textId="77777777" w:rsidR="005555A0" w:rsidRPr="00EC23A7" w:rsidRDefault="005555A0" w:rsidP="002E7096">
            <w:pPr>
              <w:spacing w:before="120" w:after="120" w:line="276" w:lineRule="auto"/>
              <w:jc w:val="both"/>
              <w:rPr>
                <w:rFonts w:ascii="Verdana" w:hAnsi="Verdana"/>
                <w:i/>
                <w:iCs/>
                <w:sz w:val="16"/>
                <w:lang w:val="en-US"/>
              </w:rPr>
            </w:pPr>
            <w:r w:rsidRPr="00EC23A7">
              <w:rPr>
                <w:rFonts w:ascii="Verdana" w:hAnsi="Verdana"/>
                <w:i/>
                <w:iCs/>
                <w:sz w:val="16"/>
                <w:lang w:val="en-US"/>
              </w:rPr>
              <w:t xml:space="preserve">As a listed company, the Company must comply with a number of laws and regulations, and it is important that the Company's investor relations personnel are aware of the relevant provisions. </w:t>
            </w:r>
          </w:p>
          <w:p w14:paraId="72F95120" w14:textId="77777777" w:rsidR="005555A0" w:rsidRPr="00EC23A7" w:rsidRDefault="005555A0" w:rsidP="002E7096">
            <w:pPr>
              <w:spacing w:before="120" w:after="120" w:line="276" w:lineRule="auto"/>
              <w:jc w:val="both"/>
              <w:rPr>
                <w:rFonts w:ascii="Verdana" w:hAnsi="Verdana"/>
                <w:i/>
                <w:iCs/>
                <w:sz w:val="16"/>
                <w:lang w:val="en-US"/>
              </w:rPr>
            </w:pPr>
            <w:r w:rsidRPr="00EC23A7">
              <w:rPr>
                <w:rFonts w:ascii="Verdana" w:hAnsi="Verdana"/>
                <w:i/>
                <w:iCs/>
                <w:sz w:val="16"/>
                <w:lang w:val="en-US"/>
              </w:rPr>
              <w:t xml:space="preserve">The IR Policy has been established for the purpose of helping the Company build trust and awareness in its investor community by ensuring that investor relation activities are conducted in compliance with relevant rules, regulations and recommended practices. </w:t>
            </w:r>
          </w:p>
        </w:tc>
      </w:tr>
    </w:tbl>
    <w:p w14:paraId="56AF98AA" w14:textId="77777777" w:rsidR="005555A0" w:rsidRPr="001113DF" w:rsidRDefault="005555A0" w:rsidP="005555A0">
      <w:pPr>
        <w:spacing w:before="240" w:after="200" w:line="300" w:lineRule="auto"/>
        <w:jc w:val="both"/>
        <w:rPr>
          <w:rFonts w:ascii="Verdana" w:hAnsi="Verdana"/>
          <w:sz w:val="16"/>
          <w:szCs w:val="16"/>
          <w:lang w:val="en-GB"/>
        </w:rPr>
      </w:pPr>
      <w:r w:rsidRPr="001113DF">
        <w:rPr>
          <w:rFonts w:ascii="Verdana" w:hAnsi="Verdana"/>
          <w:sz w:val="16"/>
          <w:szCs w:val="16"/>
          <w:lang w:val="en-GB"/>
        </w:rPr>
        <w:t xml:space="preserve">The IR Policy helps the Company ensure that shareholders, potential investors, the market in general and other stakeholders shall gain simultaneous access to accurate, clear, relevant, comprehensive and up-to-date information about </w:t>
      </w:r>
      <w:r>
        <w:rPr>
          <w:rFonts w:ascii="Verdana" w:hAnsi="Verdana"/>
          <w:sz w:val="16"/>
          <w:szCs w:val="16"/>
          <w:lang w:val="en-GB"/>
        </w:rPr>
        <w:t>Komplett</w:t>
      </w:r>
      <w:r w:rsidRPr="001113DF">
        <w:rPr>
          <w:rFonts w:ascii="Verdana" w:hAnsi="Verdana"/>
          <w:sz w:val="16"/>
          <w:szCs w:val="16"/>
          <w:lang w:val="en-GB"/>
        </w:rPr>
        <w:t xml:space="preserve">. </w:t>
      </w:r>
    </w:p>
    <w:p w14:paraId="29808AA0" w14:textId="77777777" w:rsidR="005555A0" w:rsidRPr="001113DF" w:rsidRDefault="005555A0" w:rsidP="005555A0">
      <w:pPr>
        <w:spacing w:before="240" w:after="200" w:line="300" w:lineRule="auto"/>
        <w:jc w:val="both"/>
        <w:rPr>
          <w:rFonts w:ascii="Verdana" w:hAnsi="Verdana"/>
          <w:sz w:val="16"/>
          <w:szCs w:val="16"/>
          <w:lang w:val="en-GB"/>
        </w:rPr>
      </w:pPr>
      <w:r w:rsidRPr="001113DF">
        <w:rPr>
          <w:rFonts w:ascii="Verdana" w:hAnsi="Verdana"/>
          <w:sz w:val="16"/>
          <w:szCs w:val="16"/>
          <w:lang w:val="en-GB"/>
        </w:rPr>
        <w:t xml:space="preserve">Good relations and an open, active dialogue with shareholders, potential investors, analysts and other participants in the capital markets shall build trust and contribute to reduced costs of capital for the Company. This IR Policy shall also contribute to the management and the Company's board of directors obtaining information about the market's views and opinion on </w:t>
      </w:r>
      <w:r>
        <w:rPr>
          <w:rFonts w:ascii="Verdana" w:hAnsi="Verdana"/>
          <w:sz w:val="16"/>
          <w:szCs w:val="16"/>
          <w:lang w:val="en-GB"/>
        </w:rPr>
        <w:t>Komplett</w:t>
      </w:r>
      <w:r w:rsidRPr="001113DF">
        <w:rPr>
          <w:rFonts w:ascii="Verdana" w:hAnsi="Verdana"/>
          <w:sz w:val="16"/>
          <w:szCs w:val="16"/>
          <w:lang w:val="en-GB"/>
        </w:rPr>
        <w:t>.</w:t>
      </w:r>
    </w:p>
    <w:p w14:paraId="4352DFEF" w14:textId="77777777" w:rsidR="005555A0" w:rsidRDefault="005555A0" w:rsidP="005555A0">
      <w:pPr>
        <w:spacing w:before="240" w:after="200" w:line="300" w:lineRule="auto"/>
        <w:jc w:val="both"/>
        <w:rPr>
          <w:rFonts w:ascii="Verdana" w:hAnsi="Verdana"/>
          <w:sz w:val="16"/>
          <w:szCs w:val="16"/>
          <w:lang w:val="en-GB"/>
        </w:rPr>
      </w:pPr>
      <w:r w:rsidRPr="001113DF">
        <w:rPr>
          <w:rFonts w:ascii="Verdana" w:hAnsi="Verdana"/>
          <w:sz w:val="16"/>
          <w:szCs w:val="16"/>
          <w:lang w:val="en-GB"/>
        </w:rPr>
        <w:t>The Company's investor relations team (the "</w:t>
      </w:r>
      <w:r w:rsidRPr="001113DF">
        <w:rPr>
          <w:rFonts w:ascii="Verdana" w:hAnsi="Verdana"/>
          <w:b/>
          <w:bCs/>
          <w:sz w:val="16"/>
          <w:szCs w:val="16"/>
          <w:lang w:val="en-GB"/>
        </w:rPr>
        <w:t>IR Team</w:t>
      </w:r>
      <w:r w:rsidRPr="001113DF">
        <w:rPr>
          <w:rFonts w:ascii="Verdana" w:hAnsi="Verdana"/>
          <w:sz w:val="16"/>
          <w:szCs w:val="16"/>
          <w:lang w:val="en-GB"/>
        </w:rPr>
        <w:t xml:space="preserve">") comprises the </w:t>
      </w:r>
      <w:r>
        <w:rPr>
          <w:rFonts w:ascii="Verdana" w:hAnsi="Verdana"/>
          <w:sz w:val="16"/>
          <w:szCs w:val="16"/>
          <w:lang w:val="en-GB"/>
        </w:rPr>
        <w:t>[</w:t>
      </w:r>
      <w:r w:rsidRPr="001113DF">
        <w:rPr>
          <w:rFonts w:ascii="Verdana" w:hAnsi="Verdana"/>
          <w:sz w:val="16"/>
          <w:szCs w:val="16"/>
          <w:lang w:val="en-GB"/>
        </w:rPr>
        <w:t>chief executive officer and the financial officer, and if one is appointed by the Company, the person holding the position as investor relations officer</w:t>
      </w:r>
      <w:r>
        <w:rPr>
          <w:rFonts w:ascii="Verdana" w:hAnsi="Verdana"/>
          <w:sz w:val="16"/>
          <w:szCs w:val="16"/>
          <w:lang w:val="en-GB"/>
        </w:rPr>
        <w:t>]</w:t>
      </w:r>
      <w:r w:rsidRPr="001113DF">
        <w:rPr>
          <w:rFonts w:ascii="Verdana" w:hAnsi="Verdana"/>
          <w:sz w:val="16"/>
          <w:szCs w:val="16"/>
          <w:lang w:val="en-GB"/>
        </w:rPr>
        <w:t>.</w:t>
      </w:r>
      <w:r>
        <w:rPr>
          <w:rStyle w:val="FootnoteReference"/>
          <w:rFonts w:ascii="Verdana" w:hAnsi="Verdana"/>
          <w:sz w:val="16"/>
          <w:szCs w:val="16"/>
          <w:lang w:val="en-GB"/>
        </w:rPr>
        <w:footnoteReference w:id="1"/>
      </w:r>
    </w:p>
    <w:p w14:paraId="5D65BC6C" w14:textId="77777777" w:rsidR="005555A0" w:rsidRPr="00A23B2C" w:rsidRDefault="005555A0" w:rsidP="005555A0">
      <w:pPr>
        <w:pStyle w:val="Heading1"/>
        <w:rPr>
          <w:szCs w:val="28"/>
        </w:rPr>
      </w:pPr>
      <w:bookmarkStart w:id="4" w:name="_Toc477935936"/>
      <w:bookmarkStart w:id="5" w:name="_Toc69984229"/>
      <w:r w:rsidRPr="00A23B2C">
        <w:rPr>
          <w:szCs w:val="28"/>
        </w:rPr>
        <w:t>Shareholder contact and communication with the financial market</w:t>
      </w:r>
      <w:bookmarkEnd w:id="4"/>
      <w:bookmarkEnd w:id="5"/>
    </w:p>
    <w:tbl>
      <w:tblPr>
        <w:tblStyle w:val="TableGrid"/>
        <w:tblW w:w="0" w:type="auto"/>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insideH w:val="single" w:sz="12" w:space="0" w:color="E7E6E6" w:themeColor="background2"/>
          <w:insideV w:val="single" w:sz="12" w:space="0" w:color="E7E6E6" w:themeColor="background2"/>
        </w:tblBorders>
        <w:tblLook w:val="04A0" w:firstRow="1" w:lastRow="0" w:firstColumn="1" w:lastColumn="0" w:noHBand="0" w:noVBand="1"/>
      </w:tblPr>
      <w:tblGrid>
        <w:gridCol w:w="1121"/>
        <w:gridCol w:w="7875"/>
      </w:tblGrid>
      <w:tr w:rsidR="005555A0" w:rsidRPr="00DC1950" w14:paraId="3DAE27DE" w14:textId="77777777" w:rsidTr="002E7096">
        <w:tc>
          <w:tcPr>
            <w:tcW w:w="112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2FA6AF4" w14:textId="77777777" w:rsidR="005555A0" w:rsidRPr="00EC23A7" w:rsidRDefault="005555A0" w:rsidP="002E7096">
            <w:pPr>
              <w:spacing w:after="200" w:line="276" w:lineRule="auto"/>
              <w:jc w:val="both"/>
              <w:rPr>
                <w:rFonts w:ascii="Verdana" w:hAnsi="Verdana"/>
                <w:sz w:val="16"/>
                <w:lang w:val="en-US"/>
              </w:rPr>
            </w:pPr>
            <w:r w:rsidRPr="00EC23A7">
              <w:rPr>
                <w:rFonts w:ascii="Verdana" w:hAnsi="Verdana"/>
                <w:noProof/>
                <w:sz w:val="16"/>
              </w:rPr>
              <mc:AlternateContent>
                <mc:Choice Requires="wps">
                  <w:drawing>
                    <wp:anchor distT="0" distB="0" distL="114300" distR="114300" simplePos="0" relativeHeight="251660288" behindDoc="0" locked="0" layoutInCell="1" allowOverlap="1" wp14:anchorId="246D6309" wp14:editId="137D0DF0">
                      <wp:simplePos x="0" y="0"/>
                      <wp:positionH relativeFrom="column">
                        <wp:posOffset>66040</wp:posOffset>
                      </wp:positionH>
                      <wp:positionV relativeFrom="paragraph">
                        <wp:posOffset>151765</wp:posOffset>
                      </wp:positionV>
                      <wp:extent cx="458470" cy="441960"/>
                      <wp:effectExtent l="0" t="0" r="17780" b="15240"/>
                      <wp:wrapSquare wrapText="bothSides"/>
                      <wp:docPr id="129"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8470" cy="441960"/>
                              </a:xfrm>
                              <a:custGeom>
                                <a:avLst/>
                                <a:gdLst>
                                  <a:gd name="T0" fmla="*/ 1725 w 1725"/>
                                  <a:gd name="T1" fmla="*/ 708 h 1663"/>
                                  <a:gd name="T2" fmla="*/ 1607 w 1725"/>
                                  <a:gd name="T3" fmla="*/ 533 h 1663"/>
                                  <a:gd name="T4" fmla="*/ 1607 w 1725"/>
                                  <a:gd name="T5" fmla="*/ 50 h 1663"/>
                                  <a:gd name="T6" fmla="*/ 1577 w 1725"/>
                                  <a:gd name="T7" fmla="*/ 7 h 1663"/>
                                  <a:gd name="T8" fmla="*/ 1526 w 1725"/>
                                  <a:gd name="T9" fmla="*/ 20 h 1663"/>
                                  <a:gd name="T10" fmla="*/ 853 w 1725"/>
                                  <a:gd name="T11" fmla="*/ 342 h 1663"/>
                                  <a:gd name="T12" fmla="*/ 330 w 1725"/>
                                  <a:gd name="T13" fmla="*/ 342 h 1663"/>
                                  <a:gd name="T14" fmla="*/ 287 w 1725"/>
                                  <a:gd name="T15" fmla="*/ 372 h 1663"/>
                                  <a:gd name="T16" fmla="*/ 258 w 1725"/>
                                  <a:gd name="T17" fmla="*/ 449 h 1663"/>
                                  <a:gd name="T18" fmla="*/ 43 w 1725"/>
                                  <a:gd name="T19" fmla="*/ 462 h 1663"/>
                                  <a:gd name="T20" fmla="*/ 0 w 1725"/>
                                  <a:gd name="T21" fmla="*/ 508 h 1663"/>
                                  <a:gd name="T22" fmla="*/ 0 w 1725"/>
                                  <a:gd name="T23" fmla="*/ 941 h 1663"/>
                                  <a:gd name="T24" fmla="*/ 43 w 1725"/>
                                  <a:gd name="T25" fmla="*/ 988 h 1663"/>
                                  <a:gd name="T26" fmla="*/ 270 w 1725"/>
                                  <a:gd name="T27" fmla="*/ 1001 h 1663"/>
                                  <a:gd name="T28" fmla="*/ 287 w 1725"/>
                                  <a:gd name="T29" fmla="*/ 1044 h 1663"/>
                                  <a:gd name="T30" fmla="*/ 330 w 1725"/>
                                  <a:gd name="T31" fmla="*/ 1074 h 1663"/>
                                  <a:gd name="T32" fmla="*/ 452 w 1725"/>
                                  <a:gd name="T33" fmla="*/ 1074 h 1663"/>
                                  <a:gd name="T34" fmla="*/ 640 w 1725"/>
                                  <a:gd name="T35" fmla="*/ 1621 h 1663"/>
                                  <a:gd name="T36" fmla="*/ 714 w 1725"/>
                                  <a:gd name="T37" fmla="*/ 1663 h 1663"/>
                                  <a:gd name="T38" fmla="*/ 1045 w 1725"/>
                                  <a:gd name="T39" fmla="*/ 1533 h 1663"/>
                                  <a:gd name="T40" fmla="*/ 1054 w 1725"/>
                                  <a:gd name="T41" fmla="*/ 1478 h 1663"/>
                                  <a:gd name="T42" fmla="*/ 917 w 1725"/>
                                  <a:gd name="T43" fmla="*/ 1077 h 1663"/>
                                  <a:gd name="T44" fmla="*/ 1526 w 1725"/>
                                  <a:gd name="T45" fmla="*/ 1396 h 1663"/>
                                  <a:gd name="T46" fmla="*/ 1561 w 1725"/>
                                  <a:gd name="T47" fmla="*/ 1413 h 1663"/>
                                  <a:gd name="T48" fmla="*/ 1577 w 1725"/>
                                  <a:gd name="T49" fmla="*/ 1410 h 1663"/>
                                  <a:gd name="T50" fmla="*/ 1607 w 1725"/>
                                  <a:gd name="T51" fmla="*/ 1366 h 1663"/>
                                  <a:gd name="T52" fmla="*/ 1607 w 1725"/>
                                  <a:gd name="T53" fmla="*/ 884 h 1663"/>
                                  <a:gd name="T54" fmla="*/ 1725 w 1725"/>
                                  <a:gd name="T55" fmla="*/ 708 h 1663"/>
                                  <a:gd name="T56" fmla="*/ 92 w 1725"/>
                                  <a:gd name="T57" fmla="*/ 551 h 1663"/>
                                  <a:gd name="T58" fmla="*/ 253 w 1725"/>
                                  <a:gd name="T59" fmla="*/ 543 h 1663"/>
                                  <a:gd name="T60" fmla="*/ 242 w 1725"/>
                                  <a:gd name="T61" fmla="*/ 708 h 1663"/>
                                  <a:gd name="T62" fmla="*/ 258 w 1725"/>
                                  <a:gd name="T63" fmla="*/ 907 h 1663"/>
                                  <a:gd name="T64" fmla="*/ 92 w 1725"/>
                                  <a:gd name="T65" fmla="*/ 898 h 1663"/>
                                  <a:gd name="T66" fmla="*/ 92 w 1725"/>
                                  <a:gd name="T67" fmla="*/ 551 h 1663"/>
                                  <a:gd name="T68" fmla="*/ 720 w 1725"/>
                                  <a:gd name="T69" fmla="*/ 1570 h 1663"/>
                                  <a:gd name="T70" fmla="*/ 550 w 1725"/>
                                  <a:gd name="T71" fmla="*/ 1074 h 1663"/>
                                  <a:gd name="T72" fmla="*/ 818 w 1725"/>
                                  <a:gd name="T73" fmla="*/ 1074 h 1663"/>
                                  <a:gd name="T74" fmla="*/ 960 w 1725"/>
                                  <a:gd name="T75" fmla="*/ 1488 h 1663"/>
                                  <a:gd name="T76" fmla="*/ 720 w 1725"/>
                                  <a:gd name="T77" fmla="*/ 1570 h 1663"/>
                                  <a:gd name="T78" fmla="*/ 1515 w 1725"/>
                                  <a:gd name="T79" fmla="*/ 1255 h 1663"/>
                                  <a:gd name="T80" fmla="*/ 872 w 1725"/>
                                  <a:gd name="T81" fmla="*/ 982 h 1663"/>
                                  <a:gd name="T82" fmla="*/ 872 w 1725"/>
                                  <a:gd name="T83" fmla="*/ 434 h 1663"/>
                                  <a:gd name="T84" fmla="*/ 1515 w 1725"/>
                                  <a:gd name="T85" fmla="*/ 162 h 1663"/>
                                  <a:gd name="T86" fmla="*/ 1515 w 1725"/>
                                  <a:gd name="T87" fmla="*/ 1255 h 1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725" h="1663">
                                    <a:moveTo>
                                      <a:pt x="1725" y="708"/>
                                    </a:moveTo>
                                    <a:cubicBezTo>
                                      <a:pt x="1725" y="629"/>
                                      <a:pt x="1676" y="562"/>
                                      <a:pt x="1607" y="533"/>
                                    </a:cubicBezTo>
                                    <a:cubicBezTo>
                                      <a:pt x="1607" y="50"/>
                                      <a:pt x="1607" y="50"/>
                                      <a:pt x="1607" y="50"/>
                                    </a:cubicBezTo>
                                    <a:cubicBezTo>
                                      <a:pt x="1607" y="31"/>
                                      <a:pt x="1595" y="14"/>
                                      <a:pt x="1577" y="7"/>
                                    </a:cubicBezTo>
                                    <a:cubicBezTo>
                                      <a:pt x="1559" y="0"/>
                                      <a:pt x="1539" y="6"/>
                                      <a:pt x="1526" y="20"/>
                                    </a:cubicBezTo>
                                    <a:cubicBezTo>
                                      <a:pt x="1523" y="24"/>
                                      <a:pt x="1247" y="342"/>
                                      <a:pt x="853" y="342"/>
                                    </a:cubicBezTo>
                                    <a:cubicBezTo>
                                      <a:pt x="330" y="342"/>
                                      <a:pt x="330" y="342"/>
                                      <a:pt x="330" y="342"/>
                                    </a:cubicBezTo>
                                    <a:cubicBezTo>
                                      <a:pt x="311" y="342"/>
                                      <a:pt x="293" y="354"/>
                                      <a:pt x="287" y="372"/>
                                    </a:cubicBezTo>
                                    <a:cubicBezTo>
                                      <a:pt x="258" y="449"/>
                                      <a:pt x="258" y="449"/>
                                      <a:pt x="258" y="449"/>
                                    </a:cubicBezTo>
                                    <a:cubicBezTo>
                                      <a:pt x="43" y="462"/>
                                      <a:pt x="43" y="462"/>
                                      <a:pt x="43" y="462"/>
                                    </a:cubicBezTo>
                                    <a:cubicBezTo>
                                      <a:pt x="18" y="463"/>
                                      <a:pt x="0" y="484"/>
                                      <a:pt x="0" y="508"/>
                                    </a:cubicBezTo>
                                    <a:cubicBezTo>
                                      <a:pt x="0" y="941"/>
                                      <a:pt x="0" y="941"/>
                                      <a:pt x="0" y="941"/>
                                    </a:cubicBezTo>
                                    <a:cubicBezTo>
                                      <a:pt x="0" y="966"/>
                                      <a:pt x="18" y="986"/>
                                      <a:pt x="43" y="988"/>
                                    </a:cubicBezTo>
                                    <a:cubicBezTo>
                                      <a:pt x="270" y="1001"/>
                                      <a:pt x="270" y="1001"/>
                                      <a:pt x="270" y="1001"/>
                                    </a:cubicBezTo>
                                    <a:cubicBezTo>
                                      <a:pt x="287" y="1044"/>
                                      <a:pt x="287" y="1044"/>
                                      <a:pt x="287" y="1044"/>
                                    </a:cubicBezTo>
                                    <a:cubicBezTo>
                                      <a:pt x="293" y="1062"/>
                                      <a:pt x="311" y="1074"/>
                                      <a:pt x="330" y="1074"/>
                                    </a:cubicBezTo>
                                    <a:cubicBezTo>
                                      <a:pt x="452" y="1074"/>
                                      <a:pt x="452" y="1074"/>
                                      <a:pt x="452" y="1074"/>
                                    </a:cubicBezTo>
                                    <a:cubicBezTo>
                                      <a:pt x="640" y="1621"/>
                                      <a:pt x="640" y="1621"/>
                                      <a:pt x="640" y="1621"/>
                                    </a:cubicBezTo>
                                    <a:cubicBezTo>
                                      <a:pt x="645" y="1636"/>
                                      <a:pt x="662" y="1663"/>
                                      <a:pt x="714" y="1663"/>
                                    </a:cubicBezTo>
                                    <a:cubicBezTo>
                                      <a:pt x="795" y="1663"/>
                                      <a:pt x="1003" y="1593"/>
                                      <a:pt x="1045" y="1533"/>
                                    </a:cubicBezTo>
                                    <a:cubicBezTo>
                                      <a:pt x="1062" y="1510"/>
                                      <a:pt x="1058" y="1489"/>
                                      <a:pt x="1054" y="1478"/>
                                    </a:cubicBezTo>
                                    <a:cubicBezTo>
                                      <a:pt x="917" y="1077"/>
                                      <a:pt x="917" y="1077"/>
                                      <a:pt x="917" y="1077"/>
                                    </a:cubicBezTo>
                                    <a:cubicBezTo>
                                      <a:pt x="1277" y="1109"/>
                                      <a:pt x="1523" y="1393"/>
                                      <a:pt x="1526" y="1396"/>
                                    </a:cubicBezTo>
                                    <a:cubicBezTo>
                                      <a:pt x="1535" y="1407"/>
                                      <a:pt x="1548" y="1413"/>
                                      <a:pt x="1561" y="1413"/>
                                    </a:cubicBezTo>
                                    <a:cubicBezTo>
                                      <a:pt x="1567" y="1413"/>
                                      <a:pt x="1572" y="1412"/>
                                      <a:pt x="1577" y="1410"/>
                                    </a:cubicBezTo>
                                    <a:cubicBezTo>
                                      <a:pt x="1595" y="1403"/>
                                      <a:pt x="1607" y="1386"/>
                                      <a:pt x="1607" y="1366"/>
                                    </a:cubicBezTo>
                                    <a:cubicBezTo>
                                      <a:pt x="1607" y="884"/>
                                      <a:pt x="1607" y="884"/>
                                      <a:pt x="1607" y="884"/>
                                    </a:cubicBezTo>
                                    <a:cubicBezTo>
                                      <a:pt x="1676" y="855"/>
                                      <a:pt x="1725" y="788"/>
                                      <a:pt x="1725" y="708"/>
                                    </a:cubicBezTo>
                                    <a:close/>
                                    <a:moveTo>
                                      <a:pt x="92" y="551"/>
                                    </a:moveTo>
                                    <a:cubicBezTo>
                                      <a:pt x="253" y="543"/>
                                      <a:pt x="253" y="543"/>
                                      <a:pt x="253" y="543"/>
                                    </a:cubicBezTo>
                                    <a:cubicBezTo>
                                      <a:pt x="247" y="587"/>
                                      <a:pt x="242" y="643"/>
                                      <a:pt x="242" y="708"/>
                                    </a:cubicBezTo>
                                    <a:cubicBezTo>
                                      <a:pt x="242" y="790"/>
                                      <a:pt x="250" y="858"/>
                                      <a:pt x="258" y="907"/>
                                    </a:cubicBezTo>
                                    <a:cubicBezTo>
                                      <a:pt x="92" y="898"/>
                                      <a:pt x="92" y="898"/>
                                      <a:pt x="92" y="898"/>
                                    </a:cubicBezTo>
                                    <a:lnTo>
                                      <a:pt x="92" y="551"/>
                                    </a:lnTo>
                                    <a:close/>
                                    <a:moveTo>
                                      <a:pt x="720" y="1570"/>
                                    </a:moveTo>
                                    <a:cubicBezTo>
                                      <a:pt x="550" y="1074"/>
                                      <a:pt x="550" y="1074"/>
                                      <a:pt x="550" y="1074"/>
                                    </a:cubicBezTo>
                                    <a:cubicBezTo>
                                      <a:pt x="818" y="1074"/>
                                      <a:pt x="818" y="1074"/>
                                      <a:pt x="818" y="1074"/>
                                    </a:cubicBezTo>
                                    <a:cubicBezTo>
                                      <a:pt x="960" y="1488"/>
                                      <a:pt x="960" y="1488"/>
                                      <a:pt x="960" y="1488"/>
                                    </a:cubicBezTo>
                                    <a:cubicBezTo>
                                      <a:pt x="919" y="1516"/>
                                      <a:pt x="786" y="1566"/>
                                      <a:pt x="720" y="1570"/>
                                    </a:cubicBezTo>
                                    <a:close/>
                                    <a:moveTo>
                                      <a:pt x="1515" y="1255"/>
                                    </a:moveTo>
                                    <a:cubicBezTo>
                                      <a:pt x="1400" y="1152"/>
                                      <a:pt x="1171" y="990"/>
                                      <a:pt x="872" y="982"/>
                                    </a:cubicBezTo>
                                    <a:cubicBezTo>
                                      <a:pt x="872" y="434"/>
                                      <a:pt x="872" y="434"/>
                                      <a:pt x="872" y="434"/>
                                    </a:cubicBezTo>
                                    <a:cubicBezTo>
                                      <a:pt x="1170" y="427"/>
                                      <a:pt x="1400" y="264"/>
                                      <a:pt x="1515" y="162"/>
                                    </a:cubicBezTo>
                                    <a:lnTo>
                                      <a:pt x="1515" y="1255"/>
                                    </a:lnTo>
                                    <a:close/>
                                  </a:path>
                                </a:pathLst>
                              </a:custGeom>
                              <a:solidFill>
                                <a:schemeClr val="tx1"/>
                              </a:solidFill>
                              <a:ln w="3175">
                                <a:solidFill>
                                  <a:schemeClr val="tx1"/>
                                </a:solidFill>
                              </a:ln>
                            </wps:spPr>
                            <wps:bodyPr vert="horz" wrap="square" lIns="91440" tIns="45720" rIns="91440" bIns="45720" numCol="1" anchor="t" anchorCtr="0" compatLnSpc="1">
                              <a:prstTxWarp prst="textNoShape">
                                <a:avLst/>
                              </a:prstTxWarp>
                            </wps:bodyPr>
                          </wps:wsp>
                        </a:graphicData>
                      </a:graphic>
                    </wp:anchor>
                  </w:drawing>
                </mc:Choice>
                <mc:Fallback>
                  <w:pict>
                    <v:shape w14:anchorId="76E7BBC9" id="Freeform 65" o:spid="_x0000_s1026" style="position:absolute;margin-left:5.2pt;margin-top:11.95pt;width:36.1pt;height:34.8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725,1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" path="m1725,708v,-79,-49,-146,-118,-175c1607,50,1607,50,1607,50v,-19,-12,-36,-30,-43c1559,,1539,6,1526,20v-3,4,-279,322,-673,322c330,342,330,342,330,342v-19,,-37,12,-43,30c258,449,258,449,258,449,43,462,43,462,43,462,18,463,,484,,508,,941,,941,,941v,25,18,45,43,47c270,1001,270,1001,270,1001v17,43,17,43,17,43c293,1062,311,1074,330,1074v122,,122,,122,c640,1621,640,1621,640,1621v5,15,22,42,74,42c795,1663,1003,1593,1045,1533v17,-23,13,-44,9,-55c917,1077,917,1077,917,1077v360,32,606,316,609,319c1535,1407,1548,1413,1561,1413v6,,11,-1,16,-3c1595,1403,1607,1386,1607,1366v,-482,,-482,,-482c1676,855,1725,788,1725,708xm92,551v161,-8,161,-8,161,-8c247,587,242,643,242,708v,82,8,150,16,199c92,898,92,898,92,898r,-347xm720,1570c550,1074,550,1074,550,1074v268,,268,,268,c960,1488,960,1488,960,1488v-41,28,-174,78,-240,82xm1515,1255c1400,1152,1171,990,872,982v,-548,,-548,,-548c1170,427,1400,264,1515,162r,1093xe" fillcolor="black [3213]" strokecolor="black [3213]" strokeweight=".25pt">
                      <v:path arrowok="t" o:connecttype="custom" o:connectlocs="458470,188159;427108,141650;427108,13288;419135,1860;405580,5315;226710,90890;87707,90890;76279,98863;68571,119327;11429,122781;0,135006;0,250081;11429,262572;71761,266026;76279,277454;87707,285427;120132,285427;170099,430798;189767,441960;277740,407411;280132,392794;243720,286224;405580,371002;414882,375520;419135,374723;427108,363029;427108,234932;458470,188159;24452,146434;67242,144308;64319,188159;68571,241045;24452,238653;24452,146434;191361,417244;146179,285427;217408,285427;255149,395452;191361,417244;402656,333530;231760,260977;231760,115340;402656,43053;402656,333530" o:connectangles="0,0,0,0,0,0,0,0,0,0,0,0,0,0,0,0,0,0,0,0,0,0,0,0,0,0,0,0,0,0,0,0,0,0,0,0,0,0,0,0,0,0,0,0"/>
                      <o:lock v:ext="edit" verticies="t"/>
                      <w10:wrap type="square"/>
                    </v:shape>
                  </w:pict>
                </mc:Fallback>
              </mc:AlternateContent>
            </w:r>
          </w:p>
        </w:tc>
        <w:tc>
          <w:tcPr>
            <w:tcW w:w="791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auto"/>
          </w:tcPr>
          <w:p w14:paraId="7BE5E5CF" w14:textId="77777777" w:rsidR="005555A0" w:rsidRPr="00EC23A7" w:rsidRDefault="005555A0" w:rsidP="002E7096">
            <w:pPr>
              <w:spacing w:before="120" w:after="120" w:line="276" w:lineRule="auto"/>
              <w:jc w:val="both"/>
              <w:rPr>
                <w:rFonts w:ascii="Verdana" w:hAnsi="Verdana"/>
                <w:i/>
                <w:iCs/>
                <w:sz w:val="16"/>
                <w:lang w:val="en-US"/>
              </w:rPr>
            </w:pPr>
            <w:r w:rsidRPr="00EC23A7">
              <w:rPr>
                <w:rFonts w:ascii="Verdana" w:hAnsi="Verdana"/>
                <w:i/>
                <w:iCs/>
                <w:sz w:val="16"/>
                <w:lang w:val="en-US"/>
              </w:rPr>
              <w:t>All communication with shareholders of the Company shall be on an</w:t>
            </w:r>
            <w:r w:rsidRPr="00EC23A7">
              <w:rPr>
                <w:rFonts w:ascii="Verdana" w:hAnsi="Verdana"/>
                <w:b/>
                <w:bCs/>
                <w:i/>
                <w:iCs/>
                <w:sz w:val="16"/>
                <w:lang w:val="en-US"/>
              </w:rPr>
              <w:t xml:space="preserve"> equal treatment basis</w:t>
            </w:r>
            <w:r w:rsidRPr="00EC23A7">
              <w:rPr>
                <w:rFonts w:ascii="Verdana" w:hAnsi="Verdana"/>
                <w:i/>
                <w:iCs/>
                <w:sz w:val="16"/>
                <w:lang w:val="en-US"/>
              </w:rPr>
              <w:t xml:space="preserve"> and in compliance with applicable laws and regulation. The Company shall continually provide its shareholders, Oslo Børs and the securities and financial market in general with timely and precise information about the Company and its operations. </w:t>
            </w:r>
          </w:p>
        </w:tc>
      </w:tr>
    </w:tbl>
    <w:p w14:paraId="5D3C3841" w14:textId="77777777" w:rsidR="005555A0" w:rsidRPr="003468AF" w:rsidRDefault="005555A0" w:rsidP="005555A0">
      <w:pPr>
        <w:spacing w:before="240" w:after="200" w:line="300" w:lineRule="auto"/>
        <w:jc w:val="both"/>
        <w:rPr>
          <w:rFonts w:ascii="Verdana" w:hAnsi="Verdana"/>
          <w:sz w:val="16"/>
          <w:szCs w:val="16"/>
          <w:lang w:val="en-GB"/>
        </w:rPr>
      </w:pPr>
      <w:r w:rsidRPr="003468AF">
        <w:rPr>
          <w:rFonts w:ascii="Verdana" w:hAnsi="Verdana"/>
          <w:sz w:val="16"/>
          <w:szCs w:val="16"/>
          <w:lang w:val="en-GB"/>
        </w:rPr>
        <w:t xml:space="preserve">The IR Team is responsible for all day-to-day contact with the shareholders on behalf of the Company. </w:t>
      </w:r>
    </w:p>
    <w:p w14:paraId="6A46EFD3" w14:textId="77777777" w:rsidR="005555A0" w:rsidRPr="003468AF" w:rsidRDefault="005555A0" w:rsidP="005555A0">
      <w:pPr>
        <w:spacing w:after="200" w:line="300" w:lineRule="auto"/>
        <w:jc w:val="both"/>
        <w:rPr>
          <w:rFonts w:ascii="Verdana" w:hAnsi="Verdana"/>
          <w:sz w:val="16"/>
          <w:szCs w:val="16"/>
          <w:lang w:val="en-GB"/>
        </w:rPr>
      </w:pPr>
      <w:r w:rsidRPr="003468AF">
        <w:rPr>
          <w:rFonts w:ascii="Verdana" w:hAnsi="Verdana"/>
          <w:sz w:val="16"/>
          <w:szCs w:val="16"/>
          <w:lang w:val="en-GB"/>
        </w:rPr>
        <w:t xml:space="preserve">Inside information shall be dealt with in compliance with the Company's instruction for handling of inside information. The IR Team may continually communicate with shareholders for the purposes of developing an understanding of which matters affecting the Company from time to time that are of particular importance to its shareholders. The IR Team will in such cases ensure that the communication with shareholders is in compliance with the provisions of applicable laws and regulations, and consistent with the principle of equal treatment of shareholders. </w:t>
      </w:r>
    </w:p>
    <w:p w14:paraId="3E6B662B" w14:textId="77777777" w:rsidR="005555A0" w:rsidRDefault="005555A0" w:rsidP="005555A0">
      <w:pPr>
        <w:spacing w:after="200" w:line="300" w:lineRule="auto"/>
        <w:jc w:val="both"/>
        <w:rPr>
          <w:rFonts w:ascii="Verdana" w:hAnsi="Verdana"/>
          <w:sz w:val="16"/>
          <w:szCs w:val="16"/>
          <w:lang w:val="en-GB"/>
        </w:rPr>
      </w:pPr>
      <w:r w:rsidRPr="003468AF">
        <w:rPr>
          <w:rFonts w:ascii="Verdana" w:hAnsi="Verdana"/>
          <w:sz w:val="16"/>
          <w:szCs w:val="16"/>
          <w:lang w:val="en-GB"/>
        </w:rPr>
        <w:t>Relevant information about the Company shall be given in the form of annual reports, half-year reports, quarterly reports, press releases, notices to the stock exchange and investor presentations in accordance with what is deemed appropriate from time to time. All such information shall be published on the Group's</w:t>
      </w:r>
      <w:r>
        <w:rPr>
          <w:rFonts w:ascii="Verdana" w:hAnsi="Verdana"/>
          <w:sz w:val="16"/>
          <w:szCs w:val="16"/>
          <w:lang w:val="en-GB"/>
        </w:rPr>
        <w:t xml:space="preserve"> investor</w:t>
      </w:r>
      <w:r w:rsidRPr="003468AF">
        <w:rPr>
          <w:rFonts w:ascii="Verdana" w:hAnsi="Verdana"/>
          <w:sz w:val="16"/>
          <w:szCs w:val="16"/>
          <w:lang w:val="en-GB"/>
        </w:rPr>
        <w:t xml:space="preserve"> website</w:t>
      </w:r>
      <w:r>
        <w:rPr>
          <w:rFonts w:ascii="Verdana" w:hAnsi="Verdana"/>
          <w:sz w:val="16"/>
          <w:szCs w:val="16"/>
          <w:lang w:val="en-GB"/>
        </w:rPr>
        <w:t xml:space="preserve">. </w:t>
      </w:r>
    </w:p>
    <w:p w14:paraId="393B4468" w14:textId="77777777" w:rsidR="005555A0" w:rsidRPr="00A23B2C" w:rsidRDefault="005555A0" w:rsidP="005555A0">
      <w:pPr>
        <w:spacing w:after="200" w:line="300" w:lineRule="auto"/>
        <w:jc w:val="both"/>
        <w:rPr>
          <w:rFonts w:ascii="Verdana" w:hAnsi="Verdana"/>
          <w:sz w:val="16"/>
          <w:szCs w:val="16"/>
          <w:lang w:val="en-GB"/>
        </w:rPr>
      </w:pPr>
      <w:r w:rsidRPr="002674C7">
        <w:rPr>
          <w:rFonts w:ascii="Verdana" w:hAnsi="Verdana"/>
          <w:sz w:val="16"/>
          <w:szCs w:val="16"/>
          <w:lang w:val="en-GB"/>
        </w:rPr>
        <w:t>The Company shall offer subscription service for stock exchange announcements and press releases.</w:t>
      </w:r>
      <w:r w:rsidRPr="00A23B2C">
        <w:rPr>
          <w:rFonts w:ascii="Verdana" w:hAnsi="Verdana"/>
          <w:sz w:val="16"/>
          <w:szCs w:val="16"/>
          <w:lang w:val="en-GB"/>
        </w:rPr>
        <w:t xml:space="preserve"> </w:t>
      </w:r>
    </w:p>
    <w:p w14:paraId="31BC19E1" w14:textId="77777777" w:rsidR="005555A0" w:rsidRPr="00A23B2C" w:rsidRDefault="005555A0" w:rsidP="005555A0">
      <w:pPr>
        <w:pStyle w:val="Heading1"/>
        <w:rPr>
          <w:szCs w:val="28"/>
        </w:rPr>
      </w:pPr>
      <w:bookmarkStart w:id="6" w:name="_Toc477935937"/>
      <w:bookmarkStart w:id="7" w:name="_Toc69984230"/>
      <w:r w:rsidRPr="00A23B2C">
        <w:rPr>
          <w:szCs w:val="28"/>
        </w:rPr>
        <w:lastRenderedPageBreak/>
        <w:t>Policy</w:t>
      </w:r>
      <w:bookmarkEnd w:id="6"/>
      <w:bookmarkEnd w:id="7"/>
    </w:p>
    <w:tbl>
      <w:tblPr>
        <w:tblStyle w:val="TableGrid"/>
        <w:tblW w:w="0" w:type="auto"/>
        <w:tblLook w:val="04A0" w:firstRow="1" w:lastRow="0" w:firstColumn="1" w:lastColumn="0" w:noHBand="0" w:noVBand="1"/>
      </w:tblPr>
      <w:tblGrid>
        <w:gridCol w:w="8996"/>
      </w:tblGrid>
      <w:tr w:rsidR="005555A0" w:rsidRPr="00DC1950" w14:paraId="77B821ED" w14:textId="77777777" w:rsidTr="002E7096">
        <w:tc>
          <w:tcPr>
            <w:tcW w:w="904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839AD40" w14:textId="77777777" w:rsidR="005555A0" w:rsidRPr="00C021EE" w:rsidRDefault="005555A0" w:rsidP="002E7096">
            <w:pPr>
              <w:spacing w:before="120" w:after="120" w:line="276" w:lineRule="auto"/>
              <w:jc w:val="both"/>
              <w:rPr>
                <w:i/>
                <w:iCs/>
                <w:lang w:val="en-US"/>
              </w:rPr>
            </w:pPr>
            <w:r>
              <w:rPr>
                <w:rFonts w:ascii="Verdana" w:hAnsi="Verdana"/>
                <w:i/>
                <w:iCs/>
                <w:sz w:val="16"/>
                <w:lang w:val="en-US"/>
              </w:rPr>
              <w:t xml:space="preserve">Komplett </w:t>
            </w:r>
            <w:r w:rsidRPr="00EC23A7">
              <w:rPr>
                <w:rFonts w:ascii="Verdana" w:hAnsi="Verdana"/>
                <w:i/>
                <w:iCs/>
                <w:sz w:val="16"/>
                <w:lang w:val="en-US"/>
              </w:rPr>
              <w:t>complies with the IR Code. Any future deviations from the IR Code will be explained, as required by the IR Code.</w:t>
            </w:r>
            <w:r w:rsidRPr="00EC23A7" w:rsidDel="00267BFB">
              <w:rPr>
                <w:rFonts w:ascii="Verdana" w:hAnsi="Verdana"/>
                <w:i/>
                <w:iCs/>
                <w:sz w:val="16"/>
                <w:lang w:val="en-US"/>
              </w:rPr>
              <w:t xml:space="preserve"> </w:t>
            </w:r>
          </w:p>
        </w:tc>
      </w:tr>
    </w:tbl>
    <w:p w14:paraId="6DFA6B58" w14:textId="77777777" w:rsidR="005555A0" w:rsidRPr="00F82526" w:rsidRDefault="005555A0" w:rsidP="005555A0">
      <w:pPr>
        <w:spacing w:after="200" w:line="300" w:lineRule="auto"/>
        <w:jc w:val="both"/>
        <w:rPr>
          <w:rFonts w:ascii="Verdana" w:hAnsi="Verdana"/>
          <w:sz w:val="16"/>
          <w:szCs w:val="16"/>
          <w:lang w:val="en-GB"/>
        </w:rPr>
      </w:pPr>
      <w:r w:rsidRPr="00F82526">
        <w:rPr>
          <w:rFonts w:ascii="Verdana" w:hAnsi="Verdana"/>
          <w:sz w:val="16"/>
          <w:szCs w:val="16"/>
          <w:lang w:val="en-GB"/>
        </w:rPr>
        <w:t>Disclosure and reporting to the financial markets and contact with shareholders, investors and analysts shall be based on the following main principles:</w:t>
      </w:r>
    </w:p>
    <w:p w14:paraId="3AF4FEB0" w14:textId="77777777" w:rsidR="005555A0" w:rsidRPr="00A23B2C" w:rsidRDefault="005555A0" w:rsidP="005555A0">
      <w:pPr>
        <w:pStyle w:val="ListParagraph"/>
        <w:numPr>
          <w:ilvl w:val="0"/>
          <w:numId w:val="1"/>
        </w:numPr>
        <w:autoSpaceDE w:val="0"/>
        <w:autoSpaceDN w:val="0"/>
        <w:adjustRightInd w:val="0"/>
        <w:spacing w:after="240" w:line="300" w:lineRule="auto"/>
        <w:ind w:left="851" w:hanging="851"/>
        <w:contextualSpacing w:val="0"/>
        <w:jc w:val="both"/>
        <w:rPr>
          <w:rFonts w:ascii="Verdana" w:hAnsi="Verdana"/>
          <w:sz w:val="16"/>
          <w:szCs w:val="16"/>
          <w:lang w:val="en-GB"/>
        </w:rPr>
      </w:pPr>
      <w:r w:rsidRPr="00A23B2C">
        <w:rPr>
          <w:rFonts w:ascii="Verdana" w:hAnsi="Verdana"/>
          <w:b/>
          <w:bCs/>
          <w:iCs/>
          <w:sz w:val="16"/>
          <w:szCs w:val="16"/>
          <w:lang w:val="en-GB"/>
        </w:rPr>
        <w:t>Compliance with laws and regulations.</w:t>
      </w:r>
      <w:r w:rsidRPr="00A23B2C">
        <w:rPr>
          <w:rFonts w:ascii="Verdana" w:hAnsi="Verdana"/>
          <w:sz w:val="16"/>
          <w:szCs w:val="16"/>
          <w:lang w:val="en-GB"/>
        </w:rPr>
        <w:t xml:space="preserve"> All disclosure, communication and reporting shall be in compliance with the applicable laws and regulations, in particular the Norwegian STA, MAR, the Norwegian Accounting Act and the Rule Books. The Company shall also comply with the relevant recommendations and market practices for reporting financial and other IR information. </w:t>
      </w:r>
    </w:p>
    <w:p w14:paraId="63DB792E" w14:textId="77777777" w:rsidR="005555A0" w:rsidRPr="00A23B2C" w:rsidRDefault="005555A0" w:rsidP="005555A0">
      <w:pPr>
        <w:pStyle w:val="ListParagraph"/>
        <w:numPr>
          <w:ilvl w:val="0"/>
          <w:numId w:val="1"/>
        </w:numPr>
        <w:autoSpaceDE w:val="0"/>
        <w:autoSpaceDN w:val="0"/>
        <w:adjustRightInd w:val="0"/>
        <w:spacing w:after="240" w:line="300" w:lineRule="auto"/>
        <w:ind w:left="851" w:hanging="851"/>
        <w:contextualSpacing w:val="0"/>
        <w:jc w:val="both"/>
        <w:rPr>
          <w:rFonts w:ascii="Verdana" w:hAnsi="Verdana"/>
          <w:sz w:val="16"/>
          <w:szCs w:val="16"/>
          <w:lang w:val="en-GB"/>
        </w:rPr>
      </w:pPr>
      <w:r w:rsidRPr="00A23B2C">
        <w:rPr>
          <w:rFonts w:ascii="Verdana" w:hAnsi="Verdana"/>
          <w:b/>
          <w:bCs/>
          <w:iCs/>
          <w:sz w:val="16"/>
          <w:szCs w:val="16"/>
          <w:lang w:val="en-GB"/>
        </w:rPr>
        <w:t>Inside information.</w:t>
      </w:r>
      <w:r w:rsidRPr="00A23B2C">
        <w:rPr>
          <w:rFonts w:ascii="Verdana" w:hAnsi="Verdana"/>
          <w:i/>
          <w:sz w:val="16"/>
          <w:szCs w:val="16"/>
          <w:lang w:val="en-GB"/>
        </w:rPr>
        <w:t xml:space="preserve"> </w:t>
      </w:r>
      <w:r w:rsidRPr="00A23B2C">
        <w:rPr>
          <w:rFonts w:ascii="Verdana" w:hAnsi="Verdana"/>
          <w:sz w:val="16"/>
          <w:szCs w:val="16"/>
          <w:lang w:val="en-GB"/>
        </w:rPr>
        <w:t>Unless exceptions apply and are invoked,</w:t>
      </w:r>
      <w:r w:rsidRPr="00A23B2C">
        <w:rPr>
          <w:rFonts w:ascii="Verdana" w:hAnsi="Verdana"/>
          <w:i/>
          <w:sz w:val="16"/>
          <w:szCs w:val="16"/>
          <w:lang w:val="en-GB"/>
        </w:rPr>
        <w:t xml:space="preserve"> </w:t>
      </w:r>
      <w:r w:rsidRPr="00A23B2C">
        <w:rPr>
          <w:rFonts w:ascii="Verdana" w:hAnsi="Verdana"/>
          <w:sz w:val="16"/>
          <w:szCs w:val="16"/>
          <w:lang w:val="en-GB"/>
        </w:rPr>
        <w:t>the Company</w:t>
      </w:r>
      <w:r w:rsidRPr="00A23B2C" w:rsidDel="004145BD">
        <w:rPr>
          <w:rFonts w:ascii="Verdana" w:hAnsi="Verdana"/>
          <w:sz w:val="16"/>
          <w:szCs w:val="16"/>
          <w:lang w:val="en-GB"/>
        </w:rPr>
        <w:t xml:space="preserve"> </w:t>
      </w:r>
      <w:r w:rsidRPr="00A23B2C">
        <w:rPr>
          <w:rFonts w:ascii="Verdana" w:hAnsi="Verdana"/>
          <w:sz w:val="16"/>
          <w:szCs w:val="16"/>
          <w:lang w:val="en-GB"/>
        </w:rPr>
        <w:t>shall promptly disclose all inside information (as defined by article 7 of MAR).</w:t>
      </w:r>
    </w:p>
    <w:p w14:paraId="75C4D258" w14:textId="77777777" w:rsidR="005555A0" w:rsidRPr="00A23B2C" w:rsidRDefault="005555A0" w:rsidP="005555A0">
      <w:pPr>
        <w:pStyle w:val="ListParagraph"/>
        <w:numPr>
          <w:ilvl w:val="0"/>
          <w:numId w:val="1"/>
        </w:numPr>
        <w:autoSpaceDE w:val="0"/>
        <w:autoSpaceDN w:val="0"/>
        <w:adjustRightInd w:val="0"/>
        <w:spacing w:after="240" w:line="300" w:lineRule="auto"/>
        <w:ind w:left="851" w:hanging="851"/>
        <w:contextualSpacing w:val="0"/>
        <w:jc w:val="both"/>
        <w:rPr>
          <w:rFonts w:ascii="Verdana" w:hAnsi="Verdana"/>
          <w:sz w:val="16"/>
          <w:szCs w:val="16"/>
          <w:lang w:val="en-GB"/>
        </w:rPr>
      </w:pPr>
      <w:r w:rsidRPr="00A23B2C">
        <w:rPr>
          <w:rFonts w:ascii="Verdana" w:hAnsi="Verdana"/>
          <w:b/>
          <w:bCs/>
          <w:sz w:val="16"/>
          <w:szCs w:val="16"/>
          <w:lang w:val="en-GB"/>
        </w:rPr>
        <w:t>Language.</w:t>
      </w:r>
      <w:r w:rsidRPr="00A23B2C">
        <w:rPr>
          <w:rFonts w:ascii="Verdana" w:hAnsi="Verdana"/>
          <w:i/>
          <w:iCs/>
          <w:sz w:val="16"/>
          <w:szCs w:val="16"/>
          <w:lang w:val="en-GB"/>
        </w:rPr>
        <w:t xml:space="preserve"> </w:t>
      </w:r>
      <w:r w:rsidRPr="00A23B2C">
        <w:rPr>
          <w:rFonts w:ascii="Verdana" w:hAnsi="Verdana"/>
          <w:sz w:val="16"/>
          <w:szCs w:val="16"/>
          <w:lang w:val="en-GB"/>
        </w:rPr>
        <w:t xml:space="preserve">All financial and other IR information shall be published in English. All stock exchange notifications shall be published in English. </w:t>
      </w:r>
    </w:p>
    <w:p w14:paraId="1AC664BF" w14:textId="77777777" w:rsidR="005555A0" w:rsidRPr="00A23B2C" w:rsidRDefault="005555A0" w:rsidP="005555A0">
      <w:pPr>
        <w:pStyle w:val="ListParagraph"/>
        <w:numPr>
          <w:ilvl w:val="0"/>
          <w:numId w:val="1"/>
        </w:numPr>
        <w:autoSpaceDE w:val="0"/>
        <w:autoSpaceDN w:val="0"/>
        <w:adjustRightInd w:val="0"/>
        <w:spacing w:after="240" w:line="300" w:lineRule="auto"/>
        <w:ind w:left="851" w:hanging="851"/>
        <w:contextualSpacing w:val="0"/>
        <w:jc w:val="both"/>
        <w:rPr>
          <w:rFonts w:ascii="Verdana" w:hAnsi="Verdana"/>
          <w:sz w:val="16"/>
          <w:szCs w:val="16"/>
          <w:lang w:val="en-GB"/>
        </w:rPr>
      </w:pPr>
      <w:r w:rsidRPr="00A23B2C">
        <w:rPr>
          <w:rFonts w:ascii="Verdana" w:hAnsi="Verdana"/>
          <w:b/>
          <w:bCs/>
          <w:iCs/>
          <w:sz w:val="16"/>
          <w:szCs w:val="16"/>
          <w:lang w:val="en-GB"/>
        </w:rPr>
        <w:t>Information on value drivers.</w:t>
      </w:r>
      <w:r w:rsidRPr="00A23B2C">
        <w:rPr>
          <w:rFonts w:ascii="Verdana" w:hAnsi="Verdana"/>
          <w:sz w:val="16"/>
          <w:szCs w:val="16"/>
          <w:lang w:val="en-GB"/>
        </w:rPr>
        <w:t xml:space="preserve"> The Company shall publish accurate and relevant information about its historical earnings, operations, outlook and any other information that the Company has defined as significant and relevant for fair valuation of the financial instruments. Such information shall be balanced and consistent over time.</w:t>
      </w:r>
    </w:p>
    <w:p w14:paraId="4813A0B8" w14:textId="77777777" w:rsidR="005555A0" w:rsidRPr="00A23B2C" w:rsidRDefault="005555A0" w:rsidP="005555A0">
      <w:pPr>
        <w:pStyle w:val="ListParagraph"/>
        <w:numPr>
          <w:ilvl w:val="0"/>
          <w:numId w:val="1"/>
        </w:numPr>
        <w:autoSpaceDE w:val="0"/>
        <w:autoSpaceDN w:val="0"/>
        <w:adjustRightInd w:val="0"/>
        <w:spacing w:after="240" w:line="300" w:lineRule="auto"/>
        <w:ind w:left="851" w:hanging="851"/>
        <w:contextualSpacing w:val="0"/>
        <w:jc w:val="both"/>
        <w:rPr>
          <w:rFonts w:ascii="Verdana" w:hAnsi="Verdana"/>
          <w:sz w:val="16"/>
          <w:szCs w:val="16"/>
          <w:lang w:val="en-GB"/>
        </w:rPr>
      </w:pPr>
      <w:r w:rsidRPr="00A23B2C">
        <w:rPr>
          <w:rFonts w:ascii="Verdana" w:hAnsi="Verdana"/>
          <w:b/>
          <w:bCs/>
          <w:sz w:val="16"/>
          <w:szCs w:val="16"/>
          <w:lang w:val="en-GB"/>
        </w:rPr>
        <w:t>Guiding.</w:t>
      </w:r>
      <w:r w:rsidRPr="00A23B2C">
        <w:rPr>
          <w:rFonts w:ascii="Verdana" w:hAnsi="Verdana"/>
          <w:i/>
          <w:iCs/>
          <w:sz w:val="16"/>
          <w:szCs w:val="16"/>
          <w:lang w:val="en-GB"/>
        </w:rPr>
        <w:t xml:space="preserve"> </w:t>
      </w:r>
      <w:r w:rsidRPr="00A23B2C">
        <w:rPr>
          <w:rFonts w:ascii="Verdana" w:hAnsi="Verdana"/>
          <w:sz w:val="16"/>
          <w:szCs w:val="16"/>
          <w:lang w:val="en-GB"/>
        </w:rPr>
        <w:t>The Company shall not publish specific guiding on the Group's future financial results. The Company operates in accordance with a set of financial and non-financial strategic targets, established by the Company's board of directors. These targets govern the Group's operations within a defined strategic period.</w:t>
      </w:r>
    </w:p>
    <w:p w14:paraId="34098890" w14:textId="77777777" w:rsidR="005555A0" w:rsidRPr="00A23B2C" w:rsidRDefault="005555A0" w:rsidP="005555A0">
      <w:pPr>
        <w:pStyle w:val="ListParagraph"/>
        <w:numPr>
          <w:ilvl w:val="0"/>
          <w:numId w:val="1"/>
        </w:numPr>
        <w:autoSpaceDE w:val="0"/>
        <w:autoSpaceDN w:val="0"/>
        <w:adjustRightInd w:val="0"/>
        <w:spacing w:after="240" w:line="300" w:lineRule="auto"/>
        <w:ind w:left="851" w:hanging="851"/>
        <w:contextualSpacing w:val="0"/>
        <w:jc w:val="both"/>
        <w:rPr>
          <w:rFonts w:ascii="Verdana" w:hAnsi="Verdana"/>
          <w:sz w:val="16"/>
          <w:szCs w:val="16"/>
          <w:lang w:val="en-GB"/>
        </w:rPr>
      </w:pPr>
      <w:r w:rsidRPr="00A23B2C">
        <w:rPr>
          <w:rFonts w:ascii="Verdana" w:hAnsi="Verdana"/>
          <w:b/>
          <w:bCs/>
          <w:sz w:val="16"/>
          <w:szCs w:val="16"/>
          <w:lang w:val="en-GB"/>
        </w:rPr>
        <w:t>Quiet period.</w:t>
      </w:r>
      <w:r w:rsidRPr="00A23B2C">
        <w:rPr>
          <w:rFonts w:ascii="Verdana" w:hAnsi="Verdana"/>
          <w:i/>
          <w:iCs/>
          <w:sz w:val="16"/>
          <w:szCs w:val="16"/>
          <w:lang w:val="en-GB"/>
        </w:rPr>
        <w:t xml:space="preserve"> </w:t>
      </w:r>
      <w:r w:rsidRPr="00A23B2C">
        <w:rPr>
          <w:rFonts w:ascii="Verdana" w:hAnsi="Verdana"/>
          <w:sz w:val="16"/>
          <w:szCs w:val="16"/>
          <w:lang w:val="en-GB"/>
        </w:rPr>
        <w:t xml:space="preserve">Investor and analyst meetings shall not be held in the last three weeks prior to the presentation of results. In the same period, no comments shall be made to the media or other external parties regarding the Group's earnings and outlook. </w:t>
      </w:r>
    </w:p>
    <w:p w14:paraId="6CC8CE5B" w14:textId="77777777" w:rsidR="005555A0" w:rsidRPr="00A23B2C" w:rsidRDefault="005555A0" w:rsidP="005555A0">
      <w:pPr>
        <w:pStyle w:val="ListParagraph"/>
        <w:numPr>
          <w:ilvl w:val="0"/>
          <w:numId w:val="1"/>
        </w:numPr>
        <w:autoSpaceDE w:val="0"/>
        <w:autoSpaceDN w:val="0"/>
        <w:adjustRightInd w:val="0"/>
        <w:spacing w:after="240" w:line="300" w:lineRule="auto"/>
        <w:ind w:left="851" w:hanging="851"/>
        <w:contextualSpacing w:val="0"/>
        <w:jc w:val="both"/>
        <w:rPr>
          <w:rFonts w:ascii="Verdana" w:hAnsi="Verdana"/>
          <w:sz w:val="16"/>
          <w:szCs w:val="16"/>
          <w:lang w:val="en-GB"/>
        </w:rPr>
      </w:pPr>
      <w:r w:rsidRPr="00A23B2C">
        <w:rPr>
          <w:rFonts w:ascii="Verdana" w:hAnsi="Verdana"/>
          <w:b/>
          <w:bCs/>
          <w:sz w:val="16"/>
          <w:szCs w:val="16"/>
          <w:lang w:val="en-GB"/>
        </w:rPr>
        <w:t>Information on the Company's website.</w:t>
      </w:r>
      <w:r w:rsidRPr="00A23B2C">
        <w:rPr>
          <w:rFonts w:ascii="Verdana" w:hAnsi="Verdana"/>
          <w:i/>
          <w:iCs/>
          <w:sz w:val="16"/>
          <w:szCs w:val="16"/>
          <w:lang w:val="en-GB"/>
        </w:rPr>
        <w:t xml:space="preserve"> </w:t>
      </w:r>
      <w:r w:rsidRPr="00A23B2C">
        <w:rPr>
          <w:rFonts w:ascii="Verdana" w:hAnsi="Verdana"/>
          <w:sz w:val="16"/>
          <w:szCs w:val="16"/>
          <w:lang w:val="en-GB"/>
        </w:rPr>
        <w:t>the Company shall comply with the principles of the IR Code in respect of disclosing information to shareholders and the market on the Company's website as further set forth therein. The Company</w:t>
      </w:r>
      <w:r w:rsidRPr="00A23B2C" w:rsidDel="004145BD">
        <w:rPr>
          <w:rFonts w:ascii="Verdana" w:hAnsi="Verdana"/>
          <w:sz w:val="16"/>
          <w:szCs w:val="16"/>
          <w:lang w:val="en-GB"/>
        </w:rPr>
        <w:t xml:space="preserve"> </w:t>
      </w:r>
      <w:r w:rsidRPr="00A23B2C">
        <w:rPr>
          <w:rFonts w:ascii="Verdana" w:hAnsi="Verdana"/>
          <w:sz w:val="16"/>
          <w:szCs w:val="16"/>
          <w:lang w:val="en-GB"/>
        </w:rPr>
        <w:t xml:space="preserve">shall follow the Norwegian Code of Practice for Corporate Governance, including the code's principles regarding transparency, equal treatment of shareholders and disclosure of relevant information. Information shall therefore be available on </w:t>
      </w:r>
      <w:r>
        <w:rPr>
          <w:rFonts w:ascii="Verdana" w:hAnsi="Verdana"/>
          <w:sz w:val="16"/>
          <w:szCs w:val="16"/>
          <w:lang w:val="en-GB"/>
        </w:rPr>
        <w:t xml:space="preserve">the Group's investor website </w:t>
      </w:r>
      <w:r w:rsidRPr="00A23B2C">
        <w:rPr>
          <w:rFonts w:ascii="Verdana" w:hAnsi="Verdana"/>
          <w:sz w:val="16"/>
          <w:szCs w:val="16"/>
          <w:lang w:val="en-GB"/>
        </w:rPr>
        <w:t xml:space="preserve">and other places where it is relevant. </w:t>
      </w:r>
    </w:p>
    <w:p w14:paraId="6EA1754A" w14:textId="77777777" w:rsidR="005555A0" w:rsidRPr="00A23B2C" w:rsidRDefault="005555A0" w:rsidP="005555A0">
      <w:pPr>
        <w:pStyle w:val="Heading1"/>
        <w:rPr>
          <w:szCs w:val="28"/>
        </w:rPr>
      </w:pPr>
      <w:bookmarkStart w:id="8" w:name="_Toc69984231"/>
      <w:r w:rsidRPr="00A23B2C">
        <w:rPr>
          <w:szCs w:val="28"/>
        </w:rPr>
        <w:t>I</w:t>
      </w:r>
      <w:r>
        <w:rPr>
          <w:szCs w:val="28"/>
        </w:rPr>
        <w:t xml:space="preserve">nvestor relations </w:t>
      </w:r>
      <w:r w:rsidRPr="00A23B2C">
        <w:rPr>
          <w:szCs w:val="28"/>
        </w:rPr>
        <w:t>events and arenas</w:t>
      </w:r>
      <w:bookmarkEnd w:id="8"/>
    </w:p>
    <w:tbl>
      <w:tblPr>
        <w:tblStyle w:val="TableGrid"/>
        <w:tblW w:w="0" w:type="auto"/>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insideH w:val="single" w:sz="12" w:space="0" w:color="E7E6E6" w:themeColor="background2"/>
          <w:insideV w:val="single" w:sz="12" w:space="0" w:color="E7E6E6" w:themeColor="background2"/>
        </w:tblBorders>
        <w:tblLook w:val="04A0" w:firstRow="1" w:lastRow="0" w:firstColumn="1" w:lastColumn="0" w:noHBand="0" w:noVBand="1"/>
      </w:tblPr>
      <w:tblGrid>
        <w:gridCol w:w="1236"/>
        <w:gridCol w:w="7760"/>
      </w:tblGrid>
      <w:tr w:rsidR="005555A0" w:rsidRPr="005555A0" w14:paraId="6A0D0AD0" w14:textId="77777777" w:rsidTr="002E7096">
        <w:tc>
          <w:tcPr>
            <w:tcW w:w="112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31D7804" w14:textId="77777777" w:rsidR="005555A0" w:rsidRPr="00EC23A7" w:rsidRDefault="005555A0" w:rsidP="002E7096">
            <w:pPr>
              <w:spacing w:before="120" w:after="120" w:line="276" w:lineRule="auto"/>
              <w:rPr>
                <w:rFonts w:ascii="Verdana" w:hAnsi="Verdana"/>
                <w:sz w:val="16"/>
                <w:lang w:val="en-US"/>
              </w:rPr>
            </w:pPr>
            <w:r w:rsidRPr="00EC23A7">
              <w:rPr>
                <w:rFonts w:ascii="Verdana" w:hAnsi="Verdana"/>
                <w:noProof/>
                <w:sz w:val="16"/>
              </w:rPr>
              <w:drawing>
                <wp:inline distT="0" distB="0" distL="0" distR="0" wp14:anchorId="3F8C7678" wp14:editId="0AA9C1F9">
                  <wp:extent cx="638175" cy="638175"/>
                  <wp:effectExtent l="0" t="0" r="9525" b="0"/>
                  <wp:docPr id="11" name="Graphic 11" descr="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nnection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38175" cy="638175"/>
                          </a:xfrm>
                          <a:prstGeom prst="rect">
                            <a:avLst/>
                          </a:prstGeom>
                        </pic:spPr>
                      </pic:pic>
                    </a:graphicData>
                  </a:graphic>
                </wp:inline>
              </w:drawing>
            </w:r>
          </w:p>
        </w:tc>
        <w:tc>
          <w:tcPr>
            <w:tcW w:w="82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C920D17" w14:textId="77777777" w:rsidR="005555A0" w:rsidRPr="00EC23A7" w:rsidRDefault="005555A0" w:rsidP="002E7096">
            <w:pPr>
              <w:spacing w:before="120" w:after="120" w:line="276" w:lineRule="auto"/>
              <w:jc w:val="both"/>
              <w:rPr>
                <w:rFonts w:ascii="Verdana" w:hAnsi="Verdana"/>
                <w:i/>
                <w:iCs/>
                <w:sz w:val="16"/>
                <w:lang w:val="en-US"/>
              </w:rPr>
            </w:pPr>
            <w:r w:rsidRPr="00EC23A7">
              <w:rPr>
                <w:rFonts w:ascii="Verdana" w:hAnsi="Verdana"/>
                <w:i/>
                <w:iCs/>
                <w:sz w:val="16"/>
                <w:lang w:val="en-US"/>
              </w:rPr>
              <w:t xml:space="preserve">In addition to making information easily available on a timely basis to shareholders and the financial markets in general, the IR Team shall prioritize raising awareness of, and interest in, the Company and its shares among various market participants – in Norway, and throughout the international market. </w:t>
            </w:r>
          </w:p>
        </w:tc>
      </w:tr>
    </w:tbl>
    <w:p w14:paraId="1164B724" w14:textId="77777777" w:rsidR="005555A0" w:rsidRDefault="005555A0" w:rsidP="005555A0">
      <w:pPr>
        <w:spacing w:before="240" w:after="240" w:line="300" w:lineRule="auto"/>
        <w:jc w:val="both"/>
        <w:rPr>
          <w:rFonts w:ascii="Verdana" w:hAnsi="Verdana"/>
          <w:sz w:val="16"/>
          <w:szCs w:val="16"/>
          <w:lang w:val="en-GB"/>
        </w:rPr>
      </w:pPr>
      <w:r w:rsidRPr="00C61F45">
        <w:rPr>
          <w:rFonts w:ascii="Verdana" w:hAnsi="Verdana"/>
          <w:sz w:val="16"/>
          <w:szCs w:val="16"/>
          <w:lang w:val="en-GB"/>
        </w:rPr>
        <w:t>To help promote this goal, the deadlines, meetings and presentations set out in the table below shall be met/held.</w:t>
      </w:r>
    </w:p>
    <w:tbl>
      <w:tblPr>
        <w:tblStyle w:val="ListTable3-Accent1"/>
        <w:tblW w:w="9322" w:type="dxa"/>
        <w:tblLook w:val="04A0" w:firstRow="1" w:lastRow="0" w:firstColumn="1" w:lastColumn="0" w:noHBand="0" w:noVBand="1"/>
      </w:tblPr>
      <w:tblGrid>
        <w:gridCol w:w="1647"/>
        <w:gridCol w:w="7675"/>
      </w:tblGrid>
      <w:tr w:rsidR="005555A0" w:rsidRPr="00EC23A7" w14:paraId="526BC331" w14:textId="77777777" w:rsidTr="002E709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47" w:type="dxa"/>
          </w:tcPr>
          <w:p w14:paraId="5FD290EE" w14:textId="77777777" w:rsidR="005555A0" w:rsidRPr="00EC23A7" w:rsidRDefault="005555A0" w:rsidP="002E7096">
            <w:pPr>
              <w:widowControl w:val="0"/>
              <w:spacing w:before="120" w:after="120" w:line="276" w:lineRule="auto"/>
              <w:rPr>
                <w:rFonts w:ascii="Verdana" w:hAnsi="Verdana"/>
                <w:b w:val="0"/>
                <w:bCs w:val="0"/>
                <w:i/>
                <w:iCs/>
                <w:sz w:val="16"/>
                <w:lang w:val="en-US"/>
              </w:rPr>
            </w:pPr>
            <w:r w:rsidRPr="00EC23A7">
              <w:rPr>
                <w:rFonts w:ascii="Verdana" w:hAnsi="Verdana"/>
                <w:i/>
                <w:iCs/>
                <w:sz w:val="16"/>
                <w:lang w:val="en-US"/>
              </w:rPr>
              <w:t>Event</w:t>
            </w:r>
          </w:p>
        </w:tc>
        <w:tc>
          <w:tcPr>
            <w:tcW w:w="7675" w:type="dxa"/>
          </w:tcPr>
          <w:p w14:paraId="2C0EE4C9" w14:textId="77777777" w:rsidR="005555A0" w:rsidRPr="00EC23A7" w:rsidRDefault="005555A0" w:rsidP="002E7096">
            <w:pPr>
              <w:widowControl w:val="0"/>
              <w:spacing w:before="120" w:after="120"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val="0"/>
                <w:i/>
                <w:iCs/>
                <w:sz w:val="16"/>
                <w:lang w:val="en-US"/>
              </w:rPr>
            </w:pPr>
            <w:r w:rsidRPr="00EC23A7">
              <w:rPr>
                <w:rFonts w:ascii="Verdana" w:hAnsi="Verdana"/>
                <w:i/>
                <w:iCs/>
                <w:sz w:val="16"/>
                <w:lang w:val="en-US"/>
              </w:rPr>
              <w:t>Description</w:t>
            </w:r>
          </w:p>
        </w:tc>
      </w:tr>
      <w:tr w:rsidR="005555A0" w:rsidRPr="005555A0" w14:paraId="3819BC60" w14:textId="77777777" w:rsidTr="002E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14:paraId="0B2C1648" w14:textId="77777777" w:rsidR="005555A0" w:rsidRPr="00EC23A7" w:rsidRDefault="005555A0" w:rsidP="002E7096">
            <w:pPr>
              <w:widowControl w:val="0"/>
              <w:spacing w:before="120" w:after="120" w:line="276" w:lineRule="auto"/>
              <w:rPr>
                <w:rFonts w:ascii="Verdana" w:hAnsi="Verdana"/>
                <w:bCs w:val="0"/>
                <w:i/>
                <w:iCs/>
                <w:sz w:val="16"/>
                <w:lang w:val="en-US"/>
              </w:rPr>
            </w:pPr>
            <w:r w:rsidRPr="00EC23A7">
              <w:rPr>
                <w:rFonts w:ascii="Verdana" w:hAnsi="Verdana"/>
                <w:i/>
                <w:iCs/>
                <w:sz w:val="16"/>
                <w:lang w:val="en-US"/>
              </w:rPr>
              <w:t>Annual reports</w:t>
            </w:r>
          </w:p>
          <w:p w14:paraId="355F75B7" w14:textId="77777777" w:rsidR="005555A0" w:rsidRPr="00EC23A7" w:rsidRDefault="005555A0" w:rsidP="002E7096">
            <w:pPr>
              <w:widowControl w:val="0"/>
              <w:spacing w:before="120" w:after="120" w:line="276" w:lineRule="auto"/>
              <w:rPr>
                <w:rFonts w:ascii="Verdana" w:hAnsi="Verdana"/>
                <w:bCs w:val="0"/>
                <w:i/>
                <w:iCs/>
                <w:sz w:val="16"/>
                <w:lang w:val="en-US"/>
              </w:rPr>
            </w:pPr>
            <w:r w:rsidRPr="00EC23A7">
              <w:rPr>
                <w:rFonts w:ascii="Verdana" w:hAnsi="Verdana"/>
                <w:i/>
                <w:iCs/>
                <w:sz w:val="16"/>
                <w:lang w:val="en-US"/>
              </w:rPr>
              <w:br/>
            </w:r>
          </w:p>
          <w:p w14:paraId="2A33B1BE" w14:textId="77777777" w:rsidR="005555A0" w:rsidRPr="00EC23A7" w:rsidRDefault="005555A0" w:rsidP="002E7096">
            <w:pPr>
              <w:widowControl w:val="0"/>
              <w:spacing w:before="120" w:after="120" w:line="276" w:lineRule="auto"/>
              <w:rPr>
                <w:rFonts w:ascii="Verdana" w:hAnsi="Verdana"/>
                <w:bCs w:val="0"/>
                <w:i/>
                <w:iCs/>
                <w:sz w:val="16"/>
                <w:lang w:val="en-US"/>
              </w:rPr>
            </w:pPr>
          </w:p>
          <w:p w14:paraId="1C368BB6" w14:textId="77777777" w:rsidR="005555A0" w:rsidRPr="00EC23A7" w:rsidRDefault="005555A0" w:rsidP="002E7096">
            <w:pPr>
              <w:widowControl w:val="0"/>
              <w:spacing w:before="120" w:after="120" w:line="276" w:lineRule="auto"/>
              <w:rPr>
                <w:rFonts w:ascii="Verdana" w:hAnsi="Verdana"/>
                <w:bCs w:val="0"/>
                <w:i/>
                <w:iCs/>
                <w:sz w:val="16"/>
                <w:lang w:val="en-US"/>
              </w:rPr>
            </w:pPr>
          </w:p>
        </w:tc>
        <w:tc>
          <w:tcPr>
            <w:tcW w:w="7675" w:type="dxa"/>
          </w:tcPr>
          <w:p w14:paraId="739A75BE"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100000" w:firstRow="0" w:lastRow="0" w:firstColumn="0" w:lastColumn="0" w:oddVBand="0" w:evenVBand="0" w:oddHBand="1" w:evenHBand="0" w:firstRowFirstColumn="0" w:firstRowLastColumn="0" w:lastRowFirstColumn="0" w:lastRowLastColumn="0"/>
              <w:rPr>
                <w:rFonts w:ascii="Verdana" w:hAnsi="Verdana"/>
                <w:sz w:val="16"/>
                <w:lang w:val="en-US"/>
              </w:rPr>
            </w:pPr>
            <w:r w:rsidRPr="00EC23A7">
              <w:rPr>
                <w:rFonts w:ascii="Verdana" w:hAnsi="Verdana"/>
                <w:sz w:val="16"/>
                <w:lang w:val="en-US"/>
              </w:rPr>
              <w:lastRenderedPageBreak/>
              <w:t>Annual reports and presentations shall be available via webcast on</w:t>
            </w:r>
            <w:r w:rsidRPr="00EC23A7">
              <w:rPr>
                <w:lang w:val="en-US"/>
              </w:rPr>
              <w:t xml:space="preserve"> </w:t>
            </w:r>
            <w:r w:rsidRPr="00D901A9">
              <w:rPr>
                <w:rFonts w:ascii="Verdana" w:hAnsi="Verdana"/>
                <w:sz w:val="16"/>
                <w:lang w:val="en-US"/>
              </w:rPr>
              <w:t xml:space="preserve">the Group's investor </w:t>
            </w:r>
            <w:r w:rsidRPr="00C61F45">
              <w:rPr>
                <w:rFonts w:ascii="Verdana" w:hAnsi="Verdana"/>
                <w:sz w:val="16"/>
                <w:lang w:val="en-US"/>
              </w:rPr>
              <w:t>website</w:t>
            </w:r>
            <w:r>
              <w:rPr>
                <w:rFonts w:ascii="Verdana" w:hAnsi="Verdana"/>
                <w:sz w:val="16"/>
                <w:lang w:val="en-US"/>
              </w:rPr>
              <w:t>.</w:t>
            </w:r>
            <w:r w:rsidRPr="00C61F45">
              <w:rPr>
                <w:rFonts w:ascii="Verdana" w:hAnsi="Verdana"/>
                <w:sz w:val="16"/>
                <w:lang w:val="en-US"/>
              </w:rPr>
              <w:t xml:space="preserve"> </w:t>
            </w:r>
            <w:r w:rsidRPr="00EC23A7">
              <w:rPr>
                <w:rFonts w:ascii="Verdana" w:hAnsi="Verdana"/>
                <w:sz w:val="16"/>
                <w:lang w:val="en-US"/>
              </w:rPr>
              <w:t xml:space="preserve">The annual report for </w:t>
            </w:r>
            <w:r w:rsidRPr="00EC23A7">
              <w:rPr>
                <w:rFonts w:ascii="Verdana" w:hAnsi="Verdana"/>
                <w:sz w:val="16"/>
                <w:u w:val="single"/>
                <w:lang w:val="en-US"/>
              </w:rPr>
              <w:t>the current as well as the preceding three years</w:t>
            </w:r>
            <w:r w:rsidRPr="00EC23A7">
              <w:rPr>
                <w:rFonts w:ascii="Verdana" w:hAnsi="Verdana"/>
                <w:sz w:val="16"/>
                <w:lang w:val="en-US"/>
              </w:rPr>
              <w:t xml:space="preserve"> shall be made available on the Company's </w:t>
            </w:r>
            <w:r>
              <w:rPr>
                <w:rFonts w:ascii="Verdana" w:hAnsi="Verdana"/>
                <w:sz w:val="16"/>
                <w:lang w:val="en-US"/>
              </w:rPr>
              <w:t xml:space="preserve">investor </w:t>
            </w:r>
            <w:r w:rsidRPr="00EC23A7">
              <w:rPr>
                <w:rFonts w:ascii="Verdana" w:hAnsi="Verdana"/>
                <w:sz w:val="16"/>
                <w:lang w:val="en-US"/>
              </w:rPr>
              <w:t>website.</w:t>
            </w:r>
          </w:p>
          <w:p w14:paraId="07A3F5CF"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100000" w:firstRow="0" w:lastRow="0" w:firstColumn="0" w:lastColumn="0" w:oddVBand="0" w:evenVBand="0" w:oddHBand="1" w:evenHBand="0" w:firstRowFirstColumn="0" w:firstRowLastColumn="0" w:lastRowFirstColumn="0" w:lastRowLastColumn="0"/>
              <w:rPr>
                <w:rFonts w:ascii="Verdana" w:hAnsi="Verdana"/>
                <w:sz w:val="16"/>
                <w:lang w:val="en-US"/>
              </w:rPr>
            </w:pPr>
            <w:r w:rsidRPr="00EC23A7">
              <w:rPr>
                <w:rFonts w:ascii="Verdana" w:hAnsi="Verdana"/>
                <w:sz w:val="16"/>
                <w:lang w:val="en-US"/>
              </w:rPr>
              <w:t xml:space="preserve">Annual reports shall be published within </w:t>
            </w:r>
            <w:r w:rsidRPr="00EC23A7">
              <w:rPr>
                <w:rFonts w:ascii="Verdana" w:hAnsi="Verdana"/>
                <w:sz w:val="16"/>
                <w:u w:val="single"/>
                <w:lang w:val="en-US"/>
              </w:rPr>
              <w:t>four months</w:t>
            </w:r>
            <w:r w:rsidRPr="00EC23A7">
              <w:rPr>
                <w:rFonts w:ascii="Verdana" w:hAnsi="Verdana"/>
                <w:sz w:val="16"/>
                <w:lang w:val="en-US"/>
              </w:rPr>
              <w:t xml:space="preserve"> after the end of the financial year. The Company shall ensure that the annual report remains available and public for the </w:t>
            </w:r>
            <w:r w:rsidRPr="00EC23A7">
              <w:rPr>
                <w:rFonts w:ascii="Verdana" w:hAnsi="Verdana"/>
                <w:sz w:val="16"/>
                <w:lang w:val="en-US"/>
              </w:rPr>
              <w:lastRenderedPageBreak/>
              <w:t xml:space="preserve">following five years, as a minimum. It is recommended by the IR Code that the annual reports are published no later than </w:t>
            </w:r>
            <w:r w:rsidRPr="00EC23A7">
              <w:rPr>
                <w:rFonts w:ascii="Verdana" w:hAnsi="Verdana"/>
                <w:sz w:val="16"/>
                <w:u w:val="single"/>
                <w:lang w:val="en-US"/>
              </w:rPr>
              <w:t>three months</w:t>
            </w:r>
            <w:r w:rsidRPr="00EC23A7">
              <w:rPr>
                <w:rFonts w:ascii="Verdana" w:hAnsi="Verdana"/>
                <w:sz w:val="16"/>
                <w:lang w:val="en-US"/>
              </w:rPr>
              <w:t xml:space="preserve"> after the end of the accounting period, unless the Company has released an interim report for the fourth quarter by this date.</w:t>
            </w:r>
          </w:p>
        </w:tc>
      </w:tr>
      <w:tr w:rsidR="005555A0" w:rsidRPr="005555A0" w14:paraId="79C7C937" w14:textId="77777777" w:rsidTr="002E7096">
        <w:tc>
          <w:tcPr>
            <w:cnfStyle w:val="001000000000" w:firstRow="0" w:lastRow="0" w:firstColumn="1" w:lastColumn="0" w:oddVBand="0" w:evenVBand="0" w:oddHBand="0" w:evenHBand="0" w:firstRowFirstColumn="0" w:firstRowLastColumn="0" w:lastRowFirstColumn="0" w:lastRowLastColumn="0"/>
            <w:tcW w:w="1647" w:type="dxa"/>
          </w:tcPr>
          <w:p w14:paraId="4E5C6EDD" w14:textId="77777777" w:rsidR="005555A0" w:rsidRPr="00EC23A7" w:rsidRDefault="005555A0" w:rsidP="002E7096">
            <w:pPr>
              <w:widowControl w:val="0"/>
              <w:spacing w:before="120" w:after="120" w:line="276" w:lineRule="auto"/>
              <w:rPr>
                <w:rFonts w:ascii="Verdana" w:hAnsi="Verdana"/>
                <w:bCs w:val="0"/>
                <w:i/>
                <w:sz w:val="16"/>
                <w:szCs w:val="16"/>
                <w:lang w:val="en-US"/>
              </w:rPr>
            </w:pPr>
            <w:r w:rsidRPr="00EC23A7">
              <w:rPr>
                <w:rFonts w:ascii="Verdana" w:hAnsi="Verdana"/>
                <w:i/>
                <w:iCs/>
                <w:sz w:val="16"/>
                <w:szCs w:val="16"/>
                <w:lang w:val="en-US"/>
              </w:rPr>
              <w:lastRenderedPageBreak/>
              <w:t xml:space="preserve">Half year reporting </w:t>
            </w:r>
          </w:p>
        </w:tc>
        <w:tc>
          <w:tcPr>
            <w:tcW w:w="7675" w:type="dxa"/>
          </w:tcPr>
          <w:p w14:paraId="4B15F2C5"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US"/>
              </w:rPr>
            </w:pPr>
            <w:r w:rsidRPr="00EC23A7">
              <w:rPr>
                <w:rFonts w:ascii="Verdana" w:hAnsi="Verdana"/>
                <w:sz w:val="16"/>
                <w:szCs w:val="16"/>
                <w:lang w:val="en-US"/>
              </w:rPr>
              <w:t xml:space="preserve">Half-yearly reports for the first six months of the fiscal year shall be published </w:t>
            </w:r>
            <w:r w:rsidRPr="00EC23A7">
              <w:rPr>
                <w:rFonts w:ascii="Verdana" w:hAnsi="Verdana"/>
                <w:sz w:val="16"/>
                <w:szCs w:val="16"/>
                <w:u w:val="single"/>
                <w:lang w:val="en-US"/>
              </w:rPr>
              <w:t>as soon as possible, and no later than two months</w:t>
            </w:r>
            <w:r w:rsidRPr="00EC23A7">
              <w:rPr>
                <w:rFonts w:ascii="Verdana" w:hAnsi="Verdana"/>
                <w:sz w:val="16"/>
                <w:szCs w:val="16"/>
                <w:lang w:val="en-US"/>
              </w:rPr>
              <w:t xml:space="preserve"> after the end of the financial period. </w:t>
            </w:r>
          </w:p>
          <w:p w14:paraId="240F4B48"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US"/>
              </w:rPr>
            </w:pPr>
            <w:r w:rsidRPr="00EC23A7">
              <w:rPr>
                <w:rFonts w:ascii="Verdana" w:hAnsi="Verdana"/>
                <w:sz w:val="16"/>
                <w:szCs w:val="16"/>
                <w:lang w:val="en-US"/>
              </w:rPr>
              <w:t xml:space="preserve">The Company shall ensure that the half-yearly report remains available and public for the following </w:t>
            </w:r>
            <w:r w:rsidRPr="00EC23A7">
              <w:rPr>
                <w:rFonts w:ascii="Verdana" w:hAnsi="Verdana"/>
                <w:sz w:val="16"/>
                <w:szCs w:val="16"/>
                <w:u w:val="single"/>
                <w:lang w:val="en-US"/>
              </w:rPr>
              <w:t>three years</w:t>
            </w:r>
            <w:r w:rsidRPr="00EC23A7">
              <w:rPr>
                <w:rFonts w:ascii="Verdana" w:hAnsi="Verdana"/>
                <w:sz w:val="16"/>
                <w:szCs w:val="16"/>
                <w:lang w:val="en-US"/>
              </w:rPr>
              <w:t xml:space="preserve">, as a minimum. </w:t>
            </w:r>
          </w:p>
        </w:tc>
      </w:tr>
      <w:tr w:rsidR="005555A0" w:rsidRPr="005555A0" w14:paraId="2D5653EE" w14:textId="77777777" w:rsidTr="002E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14:paraId="007F4ECD" w14:textId="77777777" w:rsidR="005555A0" w:rsidRPr="00EC23A7" w:rsidRDefault="005555A0" w:rsidP="002E7096">
            <w:pPr>
              <w:widowControl w:val="0"/>
              <w:spacing w:before="120" w:after="120" w:line="276" w:lineRule="auto"/>
              <w:rPr>
                <w:rFonts w:ascii="Verdana" w:hAnsi="Verdana"/>
                <w:bCs w:val="0"/>
                <w:i/>
                <w:iCs/>
                <w:sz w:val="16"/>
                <w:szCs w:val="16"/>
                <w:lang w:val="en-US"/>
              </w:rPr>
            </w:pPr>
            <w:r w:rsidRPr="00EC23A7">
              <w:rPr>
                <w:rFonts w:ascii="Verdana" w:hAnsi="Verdana"/>
                <w:i/>
                <w:iCs/>
                <w:sz w:val="16"/>
                <w:szCs w:val="16"/>
                <w:lang w:val="en-US"/>
              </w:rPr>
              <w:t>Quarterly reporting</w:t>
            </w:r>
          </w:p>
          <w:p w14:paraId="2EFEBFDA" w14:textId="77777777" w:rsidR="005555A0" w:rsidRPr="00EC23A7" w:rsidRDefault="005555A0" w:rsidP="002E7096">
            <w:pPr>
              <w:widowControl w:val="0"/>
              <w:spacing w:before="120" w:after="120" w:line="276" w:lineRule="auto"/>
              <w:rPr>
                <w:rFonts w:ascii="Verdana" w:hAnsi="Verdana"/>
                <w:bCs w:val="0"/>
                <w:i/>
                <w:iCs/>
                <w:sz w:val="16"/>
                <w:szCs w:val="16"/>
                <w:lang w:val="en-US"/>
              </w:rPr>
            </w:pPr>
          </w:p>
        </w:tc>
        <w:tc>
          <w:tcPr>
            <w:tcW w:w="7675" w:type="dxa"/>
          </w:tcPr>
          <w:p w14:paraId="7E12DC91"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lang w:val="en-US"/>
              </w:rPr>
            </w:pPr>
            <w:r w:rsidRPr="00EC23A7">
              <w:rPr>
                <w:rFonts w:ascii="Verdana" w:hAnsi="Verdana"/>
                <w:sz w:val="16"/>
                <w:szCs w:val="16"/>
                <w:lang w:val="en-US"/>
              </w:rPr>
              <w:t xml:space="preserve">Quarterly reports for the first and third quarters shall be published </w:t>
            </w:r>
            <w:r w:rsidRPr="00EC23A7">
              <w:rPr>
                <w:rFonts w:ascii="Verdana" w:hAnsi="Verdana"/>
                <w:sz w:val="16"/>
                <w:szCs w:val="16"/>
                <w:u w:val="single"/>
                <w:lang w:val="en-US"/>
              </w:rPr>
              <w:t>as soon as possible and no later than by the 15</w:t>
            </w:r>
            <w:r w:rsidRPr="00EC23A7">
              <w:rPr>
                <w:rFonts w:ascii="Verdana" w:hAnsi="Verdana"/>
                <w:sz w:val="16"/>
                <w:szCs w:val="16"/>
                <w:u w:val="single"/>
                <w:vertAlign w:val="superscript"/>
                <w:lang w:val="en-US"/>
              </w:rPr>
              <w:t>th</w:t>
            </w:r>
            <w:r w:rsidRPr="00EC23A7">
              <w:rPr>
                <w:rFonts w:ascii="Verdana" w:hAnsi="Verdana"/>
                <w:sz w:val="16"/>
                <w:szCs w:val="16"/>
                <w:u w:val="single"/>
                <w:lang w:val="en-US"/>
              </w:rPr>
              <w:t xml:space="preserve"> day</w:t>
            </w:r>
            <w:r w:rsidRPr="00EC23A7">
              <w:rPr>
                <w:rFonts w:ascii="Verdana" w:hAnsi="Verdana"/>
                <w:sz w:val="16"/>
                <w:szCs w:val="16"/>
                <w:lang w:val="en-US"/>
              </w:rPr>
              <w:t xml:space="preserve"> of the second month after the accounting period in question. </w:t>
            </w:r>
          </w:p>
          <w:p w14:paraId="34A4B23B"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lang w:val="en-US"/>
              </w:rPr>
            </w:pPr>
            <w:r w:rsidRPr="00EC23A7">
              <w:rPr>
                <w:rFonts w:ascii="Verdana" w:hAnsi="Verdana"/>
                <w:sz w:val="16"/>
                <w:szCs w:val="16"/>
                <w:lang w:val="en-US"/>
              </w:rPr>
              <w:t xml:space="preserve">Half-year and quarterly reports for the </w:t>
            </w:r>
            <w:r w:rsidRPr="00EC23A7">
              <w:rPr>
                <w:rFonts w:ascii="Verdana" w:hAnsi="Verdana"/>
                <w:sz w:val="16"/>
                <w:szCs w:val="16"/>
                <w:u w:val="single"/>
                <w:lang w:val="en-US"/>
              </w:rPr>
              <w:t>current as well as the preceding three</w:t>
            </w:r>
            <w:r w:rsidRPr="00EC23A7">
              <w:rPr>
                <w:rFonts w:ascii="Verdana" w:hAnsi="Verdana"/>
                <w:sz w:val="16"/>
                <w:szCs w:val="16"/>
                <w:lang w:val="en-US"/>
              </w:rPr>
              <w:t xml:space="preserve"> years shall be made available on the Company's website.</w:t>
            </w:r>
          </w:p>
        </w:tc>
      </w:tr>
      <w:tr w:rsidR="005555A0" w:rsidRPr="005555A0" w14:paraId="6FA70018" w14:textId="77777777" w:rsidTr="002E7096">
        <w:tc>
          <w:tcPr>
            <w:cnfStyle w:val="001000000000" w:firstRow="0" w:lastRow="0" w:firstColumn="1" w:lastColumn="0" w:oddVBand="0" w:evenVBand="0" w:oddHBand="0" w:evenHBand="0" w:firstRowFirstColumn="0" w:firstRowLastColumn="0" w:lastRowFirstColumn="0" w:lastRowLastColumn="0"/>
            <w:tcW w:w="1647" w:type="dxa"/>
          </w:tcPr>
          <w:p w14:paraId="63DEAAC6" w14:textId="77777777" w:rsidR="005555A0" w:rsidRPr="00EC23A7" w:rsidRDefault="005555A0" w:rsidP="002E7096">
            <w:pPr>
              <w:widowControl w:val="0"/>
              <w:spacing w:before="120" w:after="120" w:line="276" w:lineRule="auto"/>
              <w:rPr>
                <w:rFonts w:ascii="Verdana" w:hAnsi="Verdana"/>
                <w:bCs w:val="0"/>
                <w:i/>
                <w:iCs/>
                <w:sz w:val="16"/>
                <w:szCs w:val="16"/>
                <w:lang w:val="en-US"/>
              </w:rPr>
            </w:pPr>
            <w:r w:rsidRPr="00EC23A7">
              <w:rPr>
                <w:rFonts w:ascii="Verdana" w:hAnsi="Verdana"/>
                <w:i/>
                <w:iCs/>
                <w:sz w:val="16"/>
                <w:szCs w:val="16"/>
                <w:lang w:val="en-US"/>
              </w:rPr>
              <w:t>Presentations</w:t>
            </w:r>
          </w:p>
        </w:tc>
        <w:tc>
          <w:tcPr>
            <w:tcW w:w="7675" w:type="dxa"/>
          </w:tcPr>
          <w:p w14:paraId="704A5B8C"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sz w:val="16"/>
                <w:szCs w:val="16"/>
                <w:lang w:val="en-US"/>
              </w:rPr>
            </w:pPr>
            <w:r w:rsidRPr="00EC23A7">
              <w:rPr>
                <w:rFonts w:ascii="Verdana" w:hAnsi="Verdana"/>
                <w:sz w:val="16"/>
                <w:szCs w:val="16"/>
                <w:lang w:val="en-US"/>
              </w:rPr>
              <w:t>Open results presentations shall be held for investors, analysists and other stakeholders. The presentations shall be available via webcast on</w:t>
            </w:r>
            <w:r>
              <w:rPr>
                <w:rFonts w:ascii="Verdana" w:hAnsi="Verdana"/>
                <w:sz w:val="16"/>
                <w:szCs w:val="16"/>
                <w:lang w:val="en-US"/>
              </w:rPr>
              <w:t xml:space="preserve"> the Group's investor website</w:t>
            </w:r>
            <w:r w:rsidRPr="00EC23A7">
              <w:rPr>
                <w:rFonts w:ascii="Verdana" w:hAnsi="Verdana"/>
                <w:sz w:val="16"/>
                <w:szCs w:val="16"/>
                <w:lang w:val="en-US"/>
              </w:rPr>
              <w:t xml:space="preserve">. </w:t>
            </w:r>
            <w:hyperlink w:history="1"/>
          </w:p>
        </w:tc>
      </w:tr>
      <w:tr w:rsidR="005555A0" w:rsidRPr="005555A0" w14:paraId="3566F6AC" w14:textId="77777777" w:rsidTr="002E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14:paraId="74BB8AD5" w14:textId="77777777" w:rsidR="005555A0" w:rsidRPr="00EC23A7" w:rsidRDefault="005555A0" w:rsidP="002E7096">
            <w:pPr>
              <w:widowControl w:val="0"/>
              <w:spacing w:before="120" w:after="120" w:line="276" w:lineRule="auto"/>
              <w:rPr>
                <w:rFonts w:ascii="Verdana" w:hAnsi="Verdana"/>
                <w:bCs w:val="0"/>
                <w:i/>
                <w:iCs/>
                <w:sz w:val="16"/>
                <w:szCs w:val="16"/>
                <w:lang w:val="en-US"/>
              </w:rPr>
            </w:pPr>
            <w:r w:rsidRPr="00EC23A7">
              <w:rPr>
                <w:rFonts w:ascii="Verdana" w:hAnsi="Verdana"/>
                <w:i/>
                <w:iCs/>
                <w:sz w:val="16"/>
                <w:szCs w:val="16"/>
                <w:lang w:val="en-US"/>
              </w:rPr>
              <w:t>Financial calendar</w:t>
            </w:r>
          </w:p>
        </w:tc>
        <w:tc>
          <w:tcPr>
            <w:tcW w:w="7675" w:type="dxa"/>
          </w:tcPr>
          <w:p w14:paraId="59C9FFCB"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lang w:val="en-US"/>
              </w:rPr>
            </w:pPr>
            <w:r w:rsidRPr="00EC23A7">
              <w:rPr>
                <w:rFonts w:ascii="Verdana" w:hAnsi="Verdana"/>
                <w:sz w:val="16"/>
                <w:szCs w:val="16"/>
                <w:lang w:val="en-US"/>
              </w:rPr>
              <w:t xml:space="preserve">The reporting dates for annual, half-yearly and quarterly reports shall be stated in the Company's financial calendar, which also shall include the date of the ordinary general shareholders meeting. The financial calendar shall be published on </w:t>
            </w:r>
            <w:hyperlink r:id="rId9" w:history="1">
              <w:r w:rsidRPr="00EC23A7">
                <w:rPr>
                  <w:rStyle w:val="Hyperlink"/>
                  <w:rFonts w:ascii="Verdana" w:hAnsi="Verdana"/>
                  <w:sz w:val="16"/>
                  <w:szCs w:val="16"/>
                  <w:lang w:val="en-US"/>
                </w:rPr>
                <w:t>www.newsweb.no</w:t>
              </w:r>
            </w:hyperlink>
            <w:r w:rsidRPr="00EC23A7">
              <w:rPr>
                <w:rFonts w:ascii="Verdana" w:hAnsi="Verdana"/>
                <w:sz w:val="16"/>
                <w:szCs w:val="16"/>
                <w:lang w:val="en-US"/>
              </w:rPr>
              <w:t xml:space="preserve"> (by making use of the "Financial calendar" in NewsPoint) and via webcast on </w:t>
            </w:r>
            <w:r>
              <w:rPr>
                <w:rFonts w:ascii="Verdana" w:hAnsi="Verdana"/>
                <w:sz w:val="16"/>
                <w:szCs w:val="16"/>
                <w:lang w:val="en-US"/>
              </w:rPr>
              <w:t>the Group's investor website</w:t>
            </w:r>
            <w:r w:rsidRPr="00EC23A7">
              <w:rPr>
                <w:rFonts w:ascii="Verdana" w:hAnsi="Verdana"/>
                <w:sz w:val="16"/>
                <w:szCs w:val="16"/>
                <w:lang w:val="en-US"/>
              </w:rPr>
              <w:t>.</w:t>
            </w:r>
          </w:p>
        </w:tc>
      </w:tr>
      <w:tr w:rsidR="005555A0" w:rsidRPr="005555A0" w14:paraId="41079BE1" w14:textId="77777777" w:rsidTr="002E7096">
        <w:tc>
          <w:tcPr>
            <w:cnfStyle w:val="001000000000" w:firstRow="0" w:lastRow="0" w:firstColumn="1" w:lastColumn="0" w:oddVBand="0" w:evenVBand="0" w:oddHBand="0" w:evenHBand="0" w:firstRowFirstColumn="0" w:firstRowLastColumn="0" w:lastRowFirstColumn="0" w:lastRowLastColumn="0"/>
            <w:tcW w:w="1647" w:type="dxa"/>
          </w:tcPr>
          <w:p w14:paraId="4A11FBDA" w14:textId="77777777" w:rsidR="005555A0" w:rsidRPr="00EC23A7" w:rsidRDefault="005555A0" w:rsidP="002E7096">
            <w:pPr>
              <w:widowControl w:val="0"/>
              <w:spacing w:before="120" w:after="120" w:line="276" w:lineRule="auto"/>
              <w:rPr>
                <w:rFonts w:ascii="Verdana" w:hAnsi="Verdana"/>
                <w:bCs w:val="0"/>
                <w:i/>
                <w:sz w:val="16"/>
                <w:szCs w:val="16"/>
                <w:lang w:val="en-US"/>
              </w:rPr>
            </w:pPr>
            <w:r w:rsidRPr="00EC23A7">
              <w:rPr>
                <w:rFonts w:ascii="Verdana" w:hAnsi="Verdana"/>
                <w:i/>
                <w:iCs/>
                <w:sz w:val="16"/>
                <w:szCs w:val="16"/>
                <w:lang w:val="en-US"/>
              </w:rPr>
              <w:t xml:space="preserve">Investor and analyst meetings </w:t>
            </w:r>
          </w:p>
          <w:p w14:paraId="2EF7AC18" w14:textId="77777777" w:rsidR="005555A0" w:rsidRPr="00EC23A7" w:rsidRDefault="005555A0" w:rsidP="002E7096">
            <w:pPr>
              <w:widowControl w:val="0"/>
              <w:spacing w:before="120" w:after="120" w:line="276" w:lineRule="auto"/>
              <w:rPr>
                <w:rFonts w:ascii="Verdana" w:hAnsi="Verdana"/>
                <w:bCs w:val="0"/>
                <w:i/>
                <w:iCs/>
                <w:sz w:val="16"/>
                <w:szCs w:val="16"/>
                <w:lang w:val="en-US"/>
              </w:rPr>
            </w:pPr>
          </w:p>
        </w:tc>
        <w:tc>
          <w:tcPr>
            <w:tcW w:w="7675" w:type="dxa"/>
          </w:tcPr>
          <w:p w14:paraId="6E91DCA6"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US"/>
              </w:rPr>
            </w:pPr>
            <w:r w:rsidRPr="00EC23A7">
              <w:rPr>
                <w:rFonts w:ascii="Verdana" w:hAnsi="Verdana"/>
                <w:sz w:val="16"/>
                <w:szCs w:val="16"/>
                <w:lang w:val="en-US"/>
              </w:rPr>
              <w:t xml:space="preserve">The Company shall hold regular meetings with investors and analysts. </w:t>
            </w:r>
          </w:p>
          <w:p w14:paraId="6CCAB487"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US"/>
              </w:rPr>
            </w:pPr>
            <w:r w:rsidRPr="00EC23A7">
              <w:rPr>
                <w:rFonts w:ascii="Verdana" w:hAnsi="Verdana"/>
                <w:sz w:val="16"/>
                <w:szCs w:val="16"/>
                <w:lang w:val="en-US"/>
              </w:rPr>
              <w:t xml:space="preserve">The Company's ability to provide information about to individual market participants, including investors and analysts, is limited by regulations applicable to listed companies, including the rules on good stock exchange practices, and the general requirement of equal treatment. </w:t>
            </w:r>
          </w:p>
          <w:p w14:paraId="377C925C"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US"/>
              </w:rPr>
            </w:pPr>
            <w:r w:rsidRPr="00EC23A7">
              <w:rPr>
                <w:rFonts w:ascii="Verdana" w:hAnsi="Verdana"/>
                <w:sz w:val="16"/>
                <w:szCs w:val="16"/>
                <w:lang w:val="en-US"/>
              </w:rPr>
              <w:t xml:space="preserve">All presentations used in the </w:t>
            </w:r>
            <w:proofErr w:type="gramStart"/>
            <w:r w:rsidRPr="00EC23A7">
              <w:rPr>
                <w:rFonts w:ascii="Verdana" w:hAnsi="Verdana"/>
                <w:sz w:val="16"/>
                <w:szCs w:val="16"/>
                <w:lang w:val="en-US"/>
              </w:rPr>
              <w:t>above mentioned</w:t>
            </w:r>
            <w:proofErr w:type="gramEnd"/>
            <w:r w:rsidRPr="00EC23A7">
              <w:rPr>
                <w:rFonts w:ascii="Verdana" w:hAnsi="Verdana"/>
                <w:sz w:val="16"/>
                <w:szCs w:val="16"/>
                <w:lang w:val="en-US"/>
              </w:rPr>
              <w:t xml:space="preserve"> meetings shall be available on </w:t>
            </w:r>
            <w:r>
              <w:rPr>
                <w:rFonts w:ascii="Verdana" w:hAnsi="Verdana"/>
                <w:sz w:val="16"/>
                <w:szCs w:val="16"/>
                <w:lang w:val="en-US"/>
              </w:rPr>
              <w:t>the Group's investor website</w:t>
            </w:r>
            <w:r w:rsidRPr="00EC23A7">
              <w:rPr>
                <w:rFonts w:ascii="Verdana" w:hAnsi="Verdana"/>
                <w:sz w:val="16"/>
                <w:szCs w:val="16"/>
                <w:lang w:val="en-US"/>
              </w:rPr>
              <w:t>.</w:t>
            </w:r>
          </w:p>
        </w:tc>
      </w:tr>
      <w:tr w:rsidR="005555A0" w:rsidRPr="005555A0" w14:paraId="5E6B89CA" w14:textId="77777777" w:rsidTr="002E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14:paraId="5BF3D304" w14:textId="77777777" w:rsidR="005555A0" w:rsidRPr="00EC23A7" w:rsidRDefault="005555A0" w:rsidP="002E7096">
            <w:pPr>
              <w:widowControl w:val="0"/>
              <w:spacing w:before="120" w:after="120" w:line="276" w:lineRule="auto"/>
              <w:rPr>
                <w:rFonts w:ascii="Verdana" w:hAnsi="Verdana"/>
                <w:bCs w:val="0"/>
                <w:i/>
                <w:sz w:val="16"/>
                <w:szCs w:val="16"/>
                <w:lang w:val="en-US"/>
              </w:rPr>
            </w:pPr>
            <w:r w:rsidRPr="00EC23A7">
              <w:rPr>
                <w:rFonts w:ascii="Verdana" w:hAnsi="Verdana"/>
                <w:i/>
                <w:iCs/>
                <w:sz w:val="16"/>
                <w:szCs w:val="16"/>
                <w:lang w:val="en-US"/>
              </w:rPr>
              <w:t xml:space="preserve">Capital Markets Day </w:t>
            </w:r>
          </w:p>
          <w:p w14:paraId="33F316D9" w14:textId="77777777" w:rsidR="005555A0" w:rsidRPr="00EC23A7" w:rsidRDefault="005555A0" w:rsidP="002E7096">
            <w:pPr>
              <w:widowControl w:val="0"/>
              <w:spacing w:before="120" w:after="120" w:line="276" w:lineRule="auto"/>
              <w:rPr>
                <w:rFonts w:ascii="Verdana" w:hAnsi="Verdana"/>
                <w:bCs w:val="0"/>
                <w:i/>
                <w:iCs/>
                <w:sz w:val="16"/>
                <w:szCs w:val="16"/>
                <w:lang w:val="en-US"/>
              </w:rPr>
            </w:pPr>
          </w:p>
        </w:tc>
        <w:tc>
          <w:tcPr>
            <w:tcW w:w="7675" w:type="dxa"/>
          </w:tcPr>
          <w:p w14:paraId="0FC046DF"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lang w:val="en-US"/>
              </w:rPr>
            </w:pPr>
            <w:r w:rsidRPr="00EC23A7">
              <w:rPr>
                <w:rFonts w:ascii="Verdana" w:hAnsi="Verdana"/>
                <w:sz w:val="16"/>
                <w:szCs w:val="16"/>
                <w:lang w:val="en-US"/>
              </w:rPr>
              <w:t xml:space="preserve">The Company will consider holding a capital markets day when appropriate to keep the market up to date on development, strategy and outlook. capital market days will be open to all who wish to attend, and the presentations will be made available on </w:t>
            </w:r>
            <w:r>
              <w:rPr>
                <w:rFonts w:ascii="Verdana" w:hAnsi="Verdana"/>
                <w:sz w:val="16"/>
                <w:szCs w:val="16"/>
                <w:lang w:val="en-US"/>
              </w:rPr>
              <w:t>the Group's investor website</w:t>
            </w:r>
            <w:r w:rsidRPr="00EC23A7">
              <w:rPr>
                <w:rFonts w:ascii="Verdana" w:hAnsi="Verdana"/>
                <w:sz w:val="16"/>
                <w:szCs w:val="16"/>
                <w:lang w:val="en-US"/>
              </w:rPr>
              <w:t xml:space="preserve">. </w:t>
            </w:r>
            <w:hyperlink w:history="1"/>
            <w:r w:rsidRPr="00EC23A7">
              <w:rPr>
                <w:rFonts w:ascii="Verdana" w:hAnsi="Verdana"/>
                <w:sz w:val="16"/>
                <w:szCs w:val="16"/>
                <w:lang w:val="en-US"/>
              </w:rPr>
              <w:t xml:space="preserve"> </w:t>
            </w:r>
          </w:p>
        </w:tc>
      </w:tr>
      <w:tr w:rsidR="005555A0" w:rsidRPr="005555A0" w14:paraId="132A0278" w14:textId="77777777" w:rsidTr="002E7096">
        <w:tc>
          <w:tcPr>
            <w:cnfStyle w:val="001000000000" w:firstRow="0" w:lastRow="0" w:firstColumn="1" w:lastColumn="0" w:oddVBand="0" w:evenVBand="0" w:oddHBand="0" w:evenHBand="0" w:firstRowFirstColumn="0" w:firstRowLastColumn="0" w:lastRowFirstColumn="0" w:lastRowLastColumn="0"/>
            <w:tcW w:w="1647" w:type="dxa"/>
          </w:tcPr>
          <w:p w14:paraId="5E91EDBC" w14:textId="77777777" w:rsidR="005555A0" w:rsidRPr="00EC23A7" w:rsidRDefault="005555A0" w:rsidP="002E7096">
            <w:pPr>
              <w:widowControl w:val="0"/>
              <w:spacing w:before="120" w:after="120" w:line="276" w:lineRule="auto"/>
              <w:rPr>
                <w:rFonts w:ascii="Verdana" w:hAnsi="Verdana"/>
                <w:bCs w:val="0"/>
                <w:i/>
                <w:iCs/>
                <w:sz w:val="16"/>
                <w:szCs w:val="16"/>
                <w:lang w:val="en-US"/>
              </w:rPr>
            </w:pPr>
            <w:r w:rsidRPr="00EC23A7">
              <w:rPr>
                <w:rFonts w:ascii="Verdana" w:hAnsi="Verdana"/>
                <w:i/>
                <w:iCs/>
                <w:sz w:val="16"/>
                <w:szCs w:val="16"/>
                <w:lang w:val="en-US"/>
              </w:rPr>
              <w:t>Conferences, seminars, symposia, etc.</w:t>
            </w:r>
          </w:p>
        </w:tc>
        <w:tc>
          <w:tcPr>
            <w:tcW w:w="7675" w:type="dxa"/>
          </w:tcPr>
          <w:p w14:paraId="1F5A3FF5"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US"/>
              </w:rPr>
            </w:pPr>
            <w:r w:rsidRPr="00EC23A7">
              <w:rPr>
                <w:rFonts w:ascii="Verdana" w:hAnsi="Verdana"/>
                <w:sz w:val="16"/>
                <w:szCs w:val="16"/>
                <w:lang w:val="en-US"/>
              </w:rPr>
              <w:t xml:space="preserve">Representatives from the Company's management will participate in various conferences and seminars where relevant. </w:t>
            </w:r>
          </w:p>
          <w:p w14:paraId="64545ABD"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Verdana" w:hAnsi="Verdana"/>
                <w:i/>
                <w:iCs/>
                <w:sz w:val="16"/>
                <w:szCs w:val="16"/>
                <w:lang w:val="en-US"/>
              </w:rPr>
            </w:pPr>
            <w:r w:rsidRPr="00EC23A7">
              <w:rPr>
                <w:rFonts w:ascii="Verdana" w:hAnsi="Verdana"/>
                <w:sz w:val="16"/>
                <w:szCs w:val="16"/>
                <w:lang w:val="en-US"/>
              </w:rPr>
              <w:t xml:space="preserve">All relevant presentations held by the Company's management will be published on </w:t>
            </w:r>
            <w:r>
              <w:rPr>
                <w:rFonts w:ascii="Verdana" w:hAnsi="Verdana"/>
                <w:sz w:val="16"/>
                <w:szCs w:val="16"/>
                <w:lang w:val="en-US"/>
              </w:rPr>
              <w:t>the Group's investor website</w:t>
            </w:r>
            <w:r w:rsidRPr="00EC23A7">
              <w:rPr>
                <w:rFonts w:ascii="Verdana" w:hAnsi="Verdana"/>
                <w:sz w:val="16"/>
                <w:szCs w:val="16"/>
                <w:lang w:val="en-US"/>
              </w:rPr>
              <w:t>.</w:t>
            </w:r>
          </w:p>
        </w:tc>
      </w:tr>
      <w:tr w:rsidR="005555A0" w:rsidRPr="005555A0" w14:paraId="7E68F56D" w14:textId="77777777" w:rsidTr="002E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14:paraId="4DAD6818" w14:textId="77777777" w:rsidR="005555A0" w:rsidRPr="00EC23A7" w:rsidRDefault="005555A0" w:rsidP="002E7096">
            <w:pPr>
              <w:widowControl w:val="0"/>
              <w:spacing w:before="120" w:after="120" w:line="276" w:lineRule="auto"/>
              <w:rPr>
                <w:rFonts w:ascii="Verdana" w:hAnsi="Verdana"/>
                <w:bCs w:val="0"/>
                <w:i/>
                <w:iCs/>
                <w:sz w:val="16"/>
                <w:szCs w:val="16"/>
                <w:lang w:val="en-US"/>
              </w:rPr>
            </w:pPr>
            <w:r w:rsidRPr="00EC23A7">
              <w:rPr>
                <w:rFonts w:ascii="Verdana" w:hAnsi="Verdana"/>
                <w:i/>
                <w:iCs/>
                <w:sz w:val="16"/>
                <w:szCs w:val="16"/>
                <w:lang w:val="en-US"/>
              </w:rPr>
              <w:t>Company announcements</w:t>
            </w:r>
          </w:p>
        </w:tc>
        <w:tc>
          <w:tcPr>
            <w:tcW w:w="7675" w:type="dxa"/>
          </w:tcPr>
          <w:p w14:paraId="107F4AE5" w14:textId="77777777" w:rsidR="005555A0" w:rsidRPr="00EC23A7" w:rsidRDefault="005555A0" w:rsidP="005555A0">
            <w:pPr>
              <w:pStyle w:val="ListParagraph"/>
              <w:widowControl w:val="0"/>
              <w:numPr>
                <w:ilvl w:val="0"/>
                <w:numId w:val="4"/>
              </w:numPr>
              <w:spacing w:before="120" w:after="120" w:line="276" w:lineRule="auto"/>
              <w:ind w:left="357" w:hanging="357"/>
              <w:contextualSpacing w:val="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lang w:val="en-US"/>
              </w:rPr>
            </w:pPr>
            <w:r w:rsidRPr="00EC23A7">
              <w:rPr>
                <w:rFonts w:ascii="Verdana" w:hAnsi="Verdana"/>
                <w:sz w:val="16"/>
                <w:szCs w:val="16"/>
                <w:lang w:val="en-US"/>
              </w:rPr>
              <w:t xml:space="preserve">Stock exchange announcements over the last three years (and/or link to the Company's announcements on </w:t>
            </w:r>
            <w:hyperlink r:id="rId10" w:history="1">
              <w:r w:rsidRPr="00EC23A7">
                <w:rPr>
                  <w:rStyle w:val="Hyperlink"/>
                  <w:rFonts w:ascii="Verdana" w:hAnsi="Verdana"/>
                  <w:sz w:val="16"/>
                  <w:szCs w:val="16"/>
                  <w:lang w:val="en-US"/>
                </w:rPr>
                <w:t>www.newsweb.no</w:t>
              </w:r>
            </w:hyperlink>
            <w:r w:rsidRPr="00EC23A7">
              <w:rPr>
                <w:rFonts w:ascii="Verdana" w:hAnsi="Verdana"/>
                <w:sz w:val="16"/>
                <w:szCs w:val="16"/>
                <w:lang w:val="en-US"/>
              </w:rPr>
              <w:t>) should be included on</w:t>
            </w:r>
            <w:r>
              <w:rPr>
                <w:rFonts w:ascii="Verdana" w:hAnsi="Verdana"/>
                <w:sz w:val="16"/>
                <w:szCs w:val="16"/>
                <w:lang w:val="en-US"/>
              </w:rPr>
              <w:t xml:space="preserve"> the Group's investor website</w:t>
            </w:r>
            <w:r w:rsidRPr="00EC23A7">
              <w:rPr>
                <w:rFonts w:ascii="Verdana" w:hAnsi="Verdana"/>
                <w:sz w:val="16"/>
                <w:szCs w:val="16"/>
                <w:lang w:val="en-US"/>
              </w:rPr>
              <w:t xml:space="preserve">. </w:t>
            </w:r>
          </w:p>
        </w:tc>
      </w:tr>
    </w:tbl>
    <w:p w14:paraId="1B9C4651" w14:textId="77777777" w:rsidR="005555A0" w:rsidRPr="00EC23A7" w:rsidRDefault="005555A0" w:rsidP="005555A0">
      <w:pPr>
        <w:pStyle w:val="Heading1"/>
        <w:rPr>
          <w:szCs w:val="16"/>
        </w:rPr>
      </w:pPr>
      <w:bookmarkStart w:id="9" w:name="_Toc52543618"/>
      <w:bookmarkStart w:id="10" w:name="_Toc69984232"/>
      <w:r w:rsidRPr="00EC23A7">
        <w:rPr>
          <w:szCs w:val="16"/>
        </w:rPr>
        <w:t>Information available on the Company's website</w:t>
      </w:r>
      <w:bookmarkEnd w:id="9"/>
      <w:bookmarkEnd w:id="10"/>
    </w:p>
    <w:p w14:paraId="554264AC" w14:textId="77777777" w:rsidR="005555A0" w:rsidRPr="00EC23A7" w:rsidRDefault="005555A0" w:rsidP="005555A0">
      <w:pPr>
        <w:pStyle w:val="BodyText"/>
        <w:jc w:val="both"/>
        <w:rPr>
          <w:szCs w:val="16"/>
        </w:rPr>
      </w:pPr>
      <w:r w:rsidRPr="00EC23A7">
        <w:rPr>
          <w:szCs w:val="16"/>
        </w:rPr>
        <w:t>Pursuant to recommendations from the IR Code, the Company shall have the following information available at its</w:t>
      </w:r>
      <w:r>
        <w:rPr>
          <w:szCs w:val="16"/>
        </w:rPr>
        <w:t xml:space="preserve"> investor</w:t>
      </w:r>
      <w:r w:rsidRPr="00EC23A7">
        <w:rPr>
          <w:szCs w:val="16"/>
        </w:rPr>
        <w:t xml:space="preserve"> website: </w:t>
      </w:r>
    </w:p>
    <w:p w14:paraId="6F1CECC1" w14:textId="77777777" w:rsidR="005555A0" w:rsidRPr="00EC23A7" w:rsidRDefault="005555A0" w:rsidP="005555A0">
      <w:pPr>
        <w:pStyle w:val="Heading9"/>
        <w:jc w:val="both"/>
        <w:rPr>
          <w:sz w:val="16"/>
          <w:szCs w:val="20"/>
        </w:rPr>
      </w:pPr>
      <w:r w:rsidRPr="00EC23A7">
        <w:rPr>
          <w:b/>
          <w:bCs/>
          <w:iCs/>
          <w:sz w:val="16"/>
          <w:szCs w:val="20"/>
        </w:rPr>
        <w:t>Investor relations:</w:t>
      </w:r>
      <w:r w:rsidRPr="00EC23A7">
        <w:rPr>
          <w:sz w:val="16"/>
          <w:szCs w:val="20"/>
        </w:rPr>
        <w:t xml:space="preserve"> Description of the Company's investor information/investor relations policy. As a </w:t>
      </w:r>
      <w:r w:rsidRPr="00EC23A7">
        <w:rPr>
          <w:sz w:val="16"/>
          <w:szCs w:val="20"/>
          <w:u w:val="single"/>
        </w:rPr>
        <w:t>minimum</w:t>
      </w:r>
      <w:r w:rsidRPr="00EC23A7">
        <w:rPr>
          <w:sz w:val="16"/>
          <w:szCs w:val="20"/>
        </w:rPr>
        <w:t xml:space="preserve"> this includes the IR policy information as set out in the Company's annual report on </w:t>
      </w:r>
      <w:r w:rsidRPr="00EC23A7">
        <w:rPr>
          <w:sz w:val="16"/>
          <w:szCs w:val="20"/>
        </w:rPr>
        <w:lastRenderedPageBreak/>
        <w:t>corporate governance. The Company should also state to what extent it is compliant with the IR Code, and if deviation exists, so must be stated and explained in the investor relations section.</w:t>
      </w:r>
    </w:p>
    <w:p w14:paraId="43B392E3" w14:textId="77777777" w:rsidR="005555A0" w:rsidRPr="00EC23A7" w:rsidRDefault="005555A0" w:rsidP="005555A0">
      <w:pPr>
        <w:pStyle w:val="Heading9"/>
        <w:jc w:val="both"/>
        <w:rPr>
          <w:sz w:val="16"/>
          <w:szCs w:val="20"/>
        </w:rPr>
      </w:pPr>
      <w:r w:rsidRPr="00EC23A7">
        <w:rPr>
          <w:b/>
          <w:bCs/>
          <w:iCs/>
          <w:sz w:val="16"/>
          <w:szCs w:val="20"/>
        </w:rPr>
        <w:t>Articles of association:</w:t>
      </w:r>
      <w:r w:rsidRPr="00EC23A7">
        <w:rPr>
          <w:iCs/>
          <w:sz w:val="16"/>
          <w:szCs w:val="20"/>
        </w:rPr>
        <w:t xml:space="preserve"> The</w:t>
      </w:r>
      <w:r w:rsidRPr="00EC23A7">
        <w:rPr>
          <w:sz w:val="16"/>
          <w:szCs w:val="20"/>
        </w:rPr>
        <w:t xml:space="preserve"> Company's articles of association.</w:t>
      </w:r>
    </w:p>
    <w:p w14:paraId="5B16E229" w14:textId="77777777" w:rsidR="005555A0" w:rsidRPr="00EC23A7" w:rsidRDefault="005555A0" w:rsidP="005555A0">
      <w:pPr>
        <w:pStyle w:val="Heading9"/>
        <w:jc w:val="both"/>
        <w:rPr>
          <w:sz w:val="16"/>
          <w:szCs w:val="20"/>
        </w:rPr>
      </w:pPr>
      <w:r w:rsidRPr="00EC23A7">
        <w:rPr>
          <w:b/>
          <w:bCs/>
          <w:iCs/>
          <w:sz w:val="16"/>
          <w:szCs w:val="20"/>
        </w:rPr>
        <w:t>Board of directors and senior executives:</w:t>
      </w:r>
      <w:r w:rsidRPr="00EC23A7">
        <w:rPr>
          <w:iCs/>
          <w:sz w:val="16"/>
          <w:szCs w:val="20"/>
        </w:rPr>
        <w:t xml:space="preserve"> Information</w:t>
      </w:r>
      <w:r w:rsidRPr="00EC23A7">
        <w:rPr>
          <w:sz w:val="16"/>
          <w:szCs w:val="20"/>
        </w:rPr>
        <w:t xml:space="preserve"> about the members of the board of directors and senior executives which includes, as a minimum (i) name, year of birth, position, education and professional experience, (ii) how long each person has been members of the board of directors or have occupied their current position in the Company's senior management, and (iii) holdings of any shares/options/equity certificates issued by the Company.</w:t>
      </w:r>
    </w:p>
    <w:p w14:paraId="17EF149E" w14:textId="77777777" w:rsidR="005555A0" w:rsidRPr="00EC23A7" w:rsidRDefault="005555A0" w:rsidP="005555A0">
      <w:pPr>
        <w:pStyle w:val="Heading9"/>
        <w:jc w:val="both"/>
        <w:rPr>
          <w:sz w:val="16"/>
          <w:szCs w:val="20"/>
        </w:rPr>
      </w:pPr>
      <w:r w:rsidRPr="00EC23A7">
        <w:rPr>
          <w:b/>
          <w:bCs/>
          <w:iCs/>
          <w:sz w:val="16"/>
          <w:szCs w:val="20"/>
        </w:rPr>
        <w:t>Corporate governance:</w:t>
      </w:r>
      <w:r w:rsidRPr="00EC23A7">
        <w:rPr>
          <w:sz w:val="16"/>
          <w:szCs w:val="20"/>
        </w:rPr>
        <w:t xml:space="preserve"> Description of the Company's corporate governance policy, and as a minimum the Company should provide the annual report on corporate governance as required by the Oslo Børs' Issuer Rules.</w:t>
      </w:r>
    </w:p>
    <w:p w14:paraId="49F69D15" w14:textId="77777777" w:rsidR="005555A0" w:rsidRPr="00EC23A7" w:rsidRDefault="005555A0" w:rsidP="005555A0">
      <w:pPr>
        <w:pStyle w:val="Heading9"/>
        <w:jc w:val="both"/>
        <w:rPr>
          <w:sz w:val="16"/>
          <w:szCs w:val="20"/>
        </w:rPr>
      </w:pPr>
      <w:r w:rsidRPr="00EC23A7">
        <w:rPr>
          <w:b/>
          <w:bCs/>
          <w:iCs/>
          <w:sz w:val="16"/>
          <w:szCs w:val="20"/>
        </w:rPr>
        <w:t>Corporate responsibility</w:t>
      </w:r>
      <w:r w:rsidRPr="00EC23A7">
        <w:rPr>
          <w:iCs/>
          <w:sz w:val="16"/>
          <w:szCs w:val="20"/>
        </w:rPr>
        <w:t>:</w:t>
      </w:r>
      <w:r w:rsidRPr="00EC23A7">
        <w:rPr>
          <w:sz w:val="16"/>
          <w:szCs w:val="20"/>
        </w:rPr>
        <w:t xml:space="preserve"> Description of the Company's corporate responsibility policy, in which the Company as a minimum should provide the annual report on corporate social responsibility as set out in the Company's annual report on corporate governance.</w:t>
      </w:r>
    </w:p>
    <w:p w14:paraId="14F50480" w14:textId="77777777" w:rsidR="005555A0" w:rsidRPr="00EC23A7" w:rsidRDefault="005555A0" w:rsidP="005555A0">
      <w:pPr>
        <w:pStyle w:val="Heading9"/>
        <w:jc w:val="both"/>
        <w:rPr>
          <w:sz w:val="16"/>
          <w:szCs w:val="20"/>
        </w:rPr>
      </w:pPr>
      <w:r w:rsidRPr="00EC23A7">
        <w:rPr>
          <w:b/>
          <w:bCs/>
          <w:iCs/>
          <w:sz w:val="16"/>
          <w:szCs w:val="20"/>
        </w:rPr>
        <w:t>Shareholders/holders of equity certificates</w:t>
      </w:r>
      <w:r w:rsidRPr="00EC23A7">
        <w:rPr>
          <w:b/>
          <w:bCs/>
          <w:i/>
          <w:sz w:val="16"/>
          <w:szCs w:val="20"/>
        </w:rPr>
        <w:t>:</w:t>
      </w:r>
      <w:r w:rsidRPr="00EC23A7">
        <w:rPr>
          <w:sz w:val="16"/>
          <w:szCs w:val="20"/>
        </w:rPr>
        <w:t xml:space="preserve"> A list of the 20 largest shareholders, which also provides information about which of these shareholders who are registered through nominee accounts. The list should be kept updated at all </w:t>
      </w:r>
      <w:proofErr w:type="gramStart"/>
      <w:r w:rsidRPr="00EC23A7">
        <w:rPr>
          <w:sz w:val="16"/>
          <w:szCs w:val="20"/>
        </w:rPr>
        <w:t>times, but</w:t>
      </w:r>
      <w:proofErr w:type="gramEnd"/>
      <w:r w:rsidRPr="00EC23A7">
        <w:rPr>
          <w:sz w:val="16"/>
          <w:szCs w:val="20"/>
        </w:rPr>
        <w:t xml:space="preserve"> must as a minimum be updated on a monthly basis. Depending on the proportion of shares registered through nominee accounts, the Company should consider whether it would be appropriate to publish a list of beneficial owners based on the 20 largest shareholders on a regular basis, and at least once a year.</w:t>
      </w:r>
    </w:p>
    <w:p w14:paraId="16BA5C1F" w14:textId="77777777" w:rsidR="005555A0" w:rsidRPr="00EC23A7" w:rsidRDefault="005555A0" w:rsidP="005555A0">
      <w:pPr>
        <w:pStyle w:val="Heading9"/>
        <w:jc w:val="both"/>
        <w:rPr>
          <w:sz w:val="16"/>
          <w:szCs w:val="20"/>
        </w:rPr>
      </w:pPr>
      <w:r w:rsidRPr="00EC23A7">
        <w:rPr>
          <w:b/>
          <w:bCs/>
          <w:iCs/>
          <w:sz w:val="16"/>
          <w:szCs w:val="20"/>
        </w:rPr>
        <w:t>Price information:</w:t>
      </w:r>
      <w:r w:rsidRPr="00EC23A7">
        <w:rPr>
          <w:sz w:val="16"/>
          <w:szCs w:val="20"/>
        </w:rPr>
        <w:t xml:space="preserve"> Price information for the shares issued by the Company, allowing the possibility for comparison with relevant indices and any comparable issuers (peers/benchmark values). This can be readily arranged by adding a link to the Company's page on </w:t>
      </w:r>
      <w:hyperlink r:id="rId11" w:history="1">
        <w:r w:rsidRPr="00EC23A7">
          <w:rPr>
            <w:rStyle w:val="Hyperlink"/>
            <w:sz w:val="16"/>
            <w:szCs w:val="18"/>
          </w:rPr>
          <w:t>www.oslobors.no</w:t>
        </w:r>
      </w:hyperlink>
      <w:r w:rsidRPr="00EC23A7">
        <w:rPr>
          <w:sz w:val="16"/>
          <w:szCs w:val="20"/>
        </w:rPr>
        <w:t xml:space="preserve"> that shows price performance, history, volume, most recent trades, etc. or the Company may make use of a supplier that provides integrated price charts, etc. for its website.</w:t>
      </w:r>
    </w:p>
    <w:p w14:paraId="066CDEE4" w14:textId="77777777" w:rsidR="005555A0" w:rsidRPr="00EC23A7" w:rsidRDefault="005555A0" w:rsidP="005555A0">
      <w:pPr>
        <w:pStyle w:val="Heading9"/>
        <w:jc w:val="both"/>
        <w:rPr>
          <w:sz w:val="16"/>
          <w:szCs w:val="20"/>
        </w:rPr>
      </w:pPr>
      <w:r w:rsidRPr="00EC23A7">
        <w:rPr>
          <w:b/>
          <w:bCs/>
          <w:iCs/>
          <w:sz w:val="16"/>
          <w:szCs w:val="20"/>
        </w:rPr>
        <w:t>Analyst coverage and consensus estimates:</w:t>
      </w:r>
      <w:r w:rsidRPr="00EC23A7">
        <w:rPr>
          <w:sz w:val="16"/>
          <w:szCs w:val="20"/>
        </w:rPr>
        <w:t xml:space="preserve"> To the extent that the Company chooses to publish investment research and estimates it should be clearly indicated that these are not the Company's own estimates and that the Company has not processed the content. The broking firms/analysts should be published. The Company should also explain what methodology it has used to produce the consensus estimates. </w:t>
      </w:r>
    </w:p>
    <w:p w14:paraId="19AF8B33" w14:textId="77777777" w:rsidR="005555A0" w:rsidRPr="00EC23A7" w:rsidRDefault="005555A0" w:rsidP="005555A0">
      <w:pPr>
        <w:pStyle w:val="Heading9"/>
        <w:jc w:val="both"/>
        <w:rPr>
          <w:sz w:val="16"/>
          <w:szCs w:val="20"/>
        </w:rPr>
      </w:pPr>
      <w:r w:rsidRPr="00EC23A7">
        <w:rPr>
          <w:b/>
          <w:bCs/>
          <w:iCs/>
          <w:sz w:val="16"/>
          <w:szCs w:val="20"/>
        </w:rPr>
        <w:t>Notifiable primary insider trades:</w:t>
      </w:r>
      <w:r w:rsidRPr="00EC23A7">
        <w:rPr>
          <w:sz w:val="16"/>
          <w:szCs w:val="20"/>
        </w:rPr>
        <w:t xml:space="preserve"> A list of notifiable trades in the last 12 months (and/or a link to any notifiable trades in the Company's shares/equity certificates reported on </w:t>
      </w:r>
      <w:hyperlink r:id="rId12" w:history="1">
        <w:r w:rsidRPr="00EC23A7">
          <w:rPr>
            <w:rStyle w:val="Hyperlink"/>
            <w:sz w:val="16"/>
            <w:szCs w:val="18"/>
          </w:rPr>
          <w:t>www.newsweb.no</w:t>
        </w:r>
      </w:hyperlink>
      <w:r w:rsidRPr="00EC23A7">
        <w:rPr>
          <w:sz w:val="14"/>
          <w:szCs w:val="18"/>
        </w:rPr>
        <w:t xml:space="preserve">). </w:t>
      </w:r>
      <w:r w:rsidRPr="00EC23A7">
        <w:rPr>
          <w:sz w:val="16"/>
          <w:szCs w:val="20"/>
        </w:rPr>
        <w:t>This applies to notifications from the Company's shareholders, and not from the Company itself. It is sufficient to post the notice in the language in which it was issued. If no notifiable trades took place during the last 12 months' period, this should be stated.</w:t>
      </w:r>
    </w:p>
    <w:p w14:paraId="7E7BEA1B" w14:textId="77777777" w:rsidR="005555A0" w:rsidRPr="00EC23A7" w:rsidRDefault="005555A0" w:rsidP="005555A0">
      <w:pPr>
        <w:pStyle w:val="Heading9"/>
        <w:jc w:val="both"/>
        <w:rPr>
          <w:sz w:val="16"/>
          <w:szCs w:val="20"/>
        </w:rPr>
      </w:pPr>
      <w:r w:rsidRPr="00EC23A7">
        <w:rPr>
          <w:b/>
          <w:bCs/>
          <w:iCs/>
          <w:sz w:val="16"/>
          <w:szCs w:val="20"/>
        </w:rPr>
        <w:t>Disclosure of large shareholdings:</w:t>
      </w:r>
      <w:r w:rsidRPr="00EC23A7">
        <w:rPr>
          <w:sz w:val="16"/>
          <w:szCs w:val="20"/>
        </w:rPr>
        <w:t xml:space="preserve"> Announcements of the disclosure of large shareholdings issued during the last 12 months (and/or link to any such "flagging announcements" in respect of the issuer on </w:t>
      </w:r>
      <w:hyperlink r:id="rId13" w:history="1">
        <w:r w:rsidRPr="00EC23A7">
          <w:rPr>
            <w:rStyle w:val="Hyperlink"/>
            <w:sz w:val="16"/>
            <w:szCs w:val="18"/>
          </w:rPr>
          <w:t>www.newsweb.no</w:t>
        </w:r>
      </w:hyperlink>
      <w:r w:rsidRPr="00EC23A7">
        <w:rPr>
          <w:sz w:val="16"/>
          <w:szCs w:val="20"/>
        </w:rPr>
        <w:t>). The announcements of large shareholdings disclosures concern announcements made by the Company's shareholders, and not by the Company itself. It is sufficient to post the notice in the language in which it was issued. If no such disclosures were issued during the last 12 months' period, this should be stated.</w:t>
      </w:r>
    </w:p>
    <w:p w14:paraId="72D1120E" w14:textId="77777777" w:rsidR="005555A0" w:rsidRPr="00EC23A7" w:rsidRDefault="005555A0" w:rsidP="005555A0">
      <w:pPr>
        <w:pStyle w:val="Heading9"/>
        <w:jc w:val="both"/>
        <w:rPr>
          <w:sz w:val="16"/>
          <w:szCs w:val="20"/>
        </w:rPr>
      </w:pPr>
      <w:r w:rsidRPr="00EC23A7">
        <w:rPr>
          <w:b/>
          <w:bCs/>
          <w:iCs/>
          <w:sz w:val="16"/>
          <w:szCs w:val="20"/>
        </w:rPr>
        <w:t>General information about the share/equity certificate:</w:t>
      </w:r>
      <w:r w:rsidRPr="00EC23A7">
        <w:rPr>
          <w:sz w:val="16"/>
          <w:szCs w:val="20"/>
        </w:rPr>
        <w:t xml:space="preserve"> The Company's website should include the following information: (i) the type of legal entity and the national jurisdiction under which the Company is incorporated; (ii) the number of shares issued; (iii) the number of shares owned by the Company or by other group companies; (iv) whether the Company has more than one class of shares; and (v) the marketplace at on which the Company's shares are listed.</w:t>
      </w:r>
    </w:p>
    <w:p w14:paraId="59AE93DA" w14:textId="77777777" w:rsidR="005555A0" w:rsidRPr="00EC23A7" w:rsidRDefault="005555A0" w:rsidP="005555A0">
      <w:pPr>
        <w:pStyle w:val="Heading9"/>
        <w:jc w:val="both"/>
        <w:rPr>
          <w:sz w:val="16"/>
          <w:szCs w:val="20"/>
        </w:rPr>
      </w:pPr>
      <w:r w:rsidRPr="00EC23A7">
        <w:rPr>
          <w:b/>
          <w:bCs/>
          <w:iCs/>
          <w:sz w:val="16"/>
          <w:szCs w:val="20"/>
        </w:rPr>
        <w:lastRenderedPageBreak/>
        <w:t>General meetings:</w:t>
      </w:r>
      <w:r w:rsidRPr="00EC23A7">
        <w:rPr>
          <w:sz w:val="16"/>
          <w:szCs w:val="20"/>
        </w:rPr>
        <w:t xml:space="preserve"> Notices of, documentation for, and minutes of, general shareholders meetings (ordinary and extraordinary) for the </w:t>
      </w:r>
      <w:r w:rsidRPr="00EC23A7">
        <w:rPr>
          <w:sz w:val="16"/>
          <w:szCs w:val="20"/>
          <w:u w:val="single"/>
        </w:rPr>
        <w:t>past three years</w:t>
      </w:r>
      <w:r w:rsidRPr="00EC23A7">
        <w:rPr>
          <w:sz w:val="16"/>
          <w:szCs w:val="20"/>
        </w:rPr>
        <w:t xml:space="preserve">. </w:t>
      </w:r>
    </w:p>
    <w:p w14:paraId="196AFA46" w14:textId="77777777" w:rsidR="005555A0" w:rsidRPr="00EC23A7" w:rsidRDefault="005555A0" w:rsidP="005555A0">
      <w:pPr>
        <w:pStyle w:val="Heading9"/>
        <w:jc w:val="both"/>
        <w:rPr>
          <w:sz w:val="16"/>
          <w:szCs w:val="20"/>
        </w:rPr>
      </w:pPr>
      <w:r w:rsidRPr="00EC23A7">
        <w:rPr>
          <w:b/>
          <w:bCs/>
          <w:iCs/>
          <w:sz w:val="16"/>
          <w:szCs w:val="20"/>
        </w:rPr>
        <w:t>Dividends:</w:t>
      </w:r>
      <w:r w:rsidRPr="00EC23A7">
        <w:rPr>
          <w:sz w:val="16"/>
          <w:szCs w:val="20"/>
        </w:rPr>
        <w:t xml:space="preserve"> The following information concerning dividends should be available: (i) description of the Company's dividend policy; (ii) dividend amounts in the past three years, and if no dividends have been paid in one or more of the years in the three-year period, so should be stated; and (iii) dividend dates in the past three years, if dividends have been paid.</w:t>
      </w:r>
    </w:p>
    <w:p w14:paraId="38100E5F" w14:textId="77777777" w:rsidR="005555A0" w:rsidRPr="00EC23A7" w:rsidRDefault="005555A0" w:rsidP="005555A0">
      <w:pPr>
        <w:pStyle w:val="Heading9"/>
        <w:jc w:val="both"/>
        <w:rPr>
          <w:sz w:val="16"/>
          <w:szCs w:val="20"/>
        </w:rPr>
      </w:pPr>
      <w:r w:rsidRPr="00EC23A7">
        <w:rPr>
          <w:b/>
          <w:bCs/>
          <w:iCs/>
          <w:sz w:val="16"/>
          <w:szCs w:val="20"/>
        </w:rPr>
        <w:t>Prospectuses:</w:t>
      </w:r>
      <w:r w:rsidRPr="00EC23A7">
        <w:rPr>
          <w:sz w:val="16"/>
          <w:szCs w:val="20"/>
        </w:rPr>
        <w:t xml:space="preserve"> Prospectuses and other information documents prepared in the past ten years should be posted on the Company's website. If there, in any three-years' period, have not been published any prospectuses or other information documents, so should be stated. If applicable legislation prevents historical prospectuses from being made available, the Company may instead provide a brief description of which prospectuses that have been prepared, when these were prepared, which transaction they referred to and from where a copy of the prospectus may be obtained.</w:t>
      </w:r>
    </w:p>
    <w:p w14:paraId="5B041C2A" w14:textId="77777777" w:rsidR="005555A0" w:rsidRPr="00EC23A7" w:rsidRDefault="005555A0" w:rsidP="005555A0">
      <w:pPr>
        <w:pStyle w:val="Heading9"/>
        <w:jc w:val="both"/>
        <w:rPr>
          <w:sz w:val="16"/>
          <w:szCs w:val="20"/>
        </w:rPr>
      </w:pPr>
      <w:r w:rsidRPr="00EC23A7">
        <w:rPr>
          <w:b/>
          <w:bCs/>
          <w:iCs/>
          <w:sz w:val="16"/>
          <w:szCs w:val="20"/>
        </w:rPr>
        <w:t>Financial strategy:</w:t>
      </w:r>
      <w:r w:rsidRPr="00EC23A7">
        <w:rPr>
          <w:b/>
          <w:bCs/>
          <w:i/>
          <w:sz w:val="16"/>
          <w:szCs w:val="20"/>
        </w:rPr>
        <w:t xml:space="preserve"> </w:t>
      </w:r>
      <w:r w:rsidRPr="00EC23A7">
        <w:rPr>
          <w:iCs/>
          <w:sz w:val="16"/>
          <w:szCs w:val="20"/>
        </w:rPr>
        <w:t xml:space="preserve">The Company should provide a description of its financial strategy, </w:t>
      </w:r>
      <w:proofErr w:type="gramStart"/>
      <w:r w:rsidRPr="00EC23A7">
        <w:rPr>
          <w:iCs/>
          <w:sz w:val="16"/>
          <w:szCs w:val="20"/>
        </w:rPr>
        <w:t>e.g.</w:t>
      </w:r>
      <w:proofErr w:type="gramEnd"/>
      <w:r w:rsidRPr="00EC23A7">
        <w:rPr>
          <w:iCs/>
          <w:sz w:val="16"/>
          <w:szCs w:val="20"/>
        </w:rPr>
        <w:t xml:space="preserve"> information on its capital structure, sources of financing, collateral pledges/guarantees, gearing, and its policy for listing bond loans. The information should at a minimum be the same as provided in the annual report. If the Company does not have a financial strategy, this should be states. </w:t>
      </w:r>
    </w:p>
    <w:p w14:paraId="47B9664D" w14:textId="77777777" w:rsidR="005555A0" w:rsidRPr="00EC23A7" w:rsidRDefault="005555A0" w:rsidP="005555A0">
      <w:pPr>
        <w:pStyle w:val="Heading9"/>
        <w:jc w:val="both"/>
        <w:rPr>
          <w:sz w:val="16"/>
          <w:szCs w:val="20"/>
        </w:rPr>
      </w:pPr>
      <w:r w:rsidRPr="00EC23A7">
        <w:rPr>
          <w:b/>
          <w:bCs/>
          <w:iCs/>
          <w:sz w:val="16"/>
          <w:szCs w:val="20"/>
        </w:rPr>
        <w:t xml:space="preserve">Information on the Company's debt financing: </w:t>
      </w:r>
      <w:r w:rsidRPr="00EC23A7">
        <w:rPr>
          <w:iCs/>
          <w:sz w:val="16"/>
          <w:szCs w:val="20"/>
        </w:rPr>
        <w:t xml:space="preserve">The Company should provide information on its debt financing, including (i) list of the Company's various sources of financing, identifying the amounts outstanding in each case. The listing should specify listen bond loans, unlisten bond loans, bank financing and any other source of financing, (ii) terms of the interest rates payable on debt financing, including the interest margins on each loan, (iii) the major financial covenants that apply to the debt financing, and (iv) the official credit rating if the Company, o any of its individual bonds, has been credit rated. The information should, at a minimum, be the same as is provided in the annual report. </w:t>
      </w:r>
    </w:p>
    <w:p w14:paraId="2E967928" w14:textId="77777777" w:rsidR="005555A0" w:rsidRPr="00EC23A7" w:rsidRDefault="005555A0" w:rsidP="005555A0">
      <w:pPr>
        <w:pStyle w:val="Heading9"/>
        <w:jc w:val="both"/>
        <w:rPr>
          <w:sz w:val="16"/>
          <w:szCs w:val="20"/>
        </w:rPr>
      </w:pPr>
      <w:r w:rsidRPr="00EC23A7">
        <w:rPr>
          <w:b/>
          <w:bCs/>
          <w:sz w:val="16"/>
          <w:szCs w:val="20"/>
        </w:rPr>
        <w:t>Reports and the Company's announcements:</w:t>
      </w:r>
      <w:r w:rsidRPr="00EC23A7">
        <w:rPr>
          <w:b/>
          <w:bCs/>
          <w:i/>
          <w:iCs/>
          <w:sz w:val="16"/>
          <w:szCs w:val="20"/>
        </w:rPr>
        <w:t xml:space="preserve"> </w:t>
      </w:r>
      <w:r w:rsidRPr="00EC23A7">
        <w:rPr>
          <w:sz w:val="16"/>
          <w:szCs w:val="20"/>
        </w:rPr>
        <w:t>Reports and the Company's announcements, including (i) published interim reports for the current year, as well as for the three preceding years, (ii) annual reports for the last three years, and (iii) stock exchange announcement over the last three years (and/or link to the Company's announcements on www.newsweb.no) should be posted on the Company's website.</w:t>
      </w:r>
    </w:p>
    <w:p w14:paraId="5DB2BD8F" w14:textId="77777777" w:rsidR="005555A0" w:rsidRPr="00EC23A7" w:rsidRDefault="005555A0" w:rsidP="005555A0">
      <w:pPr>
        <w:pStyle w:val="Heading9"/>
        <w:jc w:val="both"/>
        <w:rPr>
          <w:sz w:val="16"/>
          <w:szCs w:val="20"/>
        </w:rPr>
      </w:pPr>
      <w:r w:rsidRPr="00EC23A7">
        <w:rPr>
          <w:b/>
          <w:bCs/>
          <w:sz w:val="16"/>
          <w:szCs w:val="20"/>
        </w:rPr>
        <w:t>Presentations:</w:t>
      </w:r>
      <w:r w:rsidRPr="00EC23A7">
        <w:rPr>
          <w:b/>
          <w:bCs/>
          <w:i/>
          <w:iCs/>
          <w:sz w:val="16"/>
          <w:szCs w:val="20"/>
        </w:rPr>
        <w:t xml:space="preserve"> </w:t>
      </w:r>
      <w:r w:rsidRPr="00EC23A7">
        <w:rPr>
          <w:sz w:val="16"/>
          <w:szCs w:val="20"/>
        </w:rPr>
        <w:t xml:space="preserve">Presentations given in connection with financial reporting, capital market days or similar, og other relevant presentations given by senior management representatives should be published. Presentations of financial reporting and other major presentations, such as capital market days, should be made available as webcasts or audiocasts. </w:t>
      </w:r>
    </w:p>
    <w:p w14:paraId="2D1F0279" w14:textId="77777777" w:rsidR="005555A0" w:rsidRPr="00EC23A7" w:rsidRDefault="005555A0" w:rsidP="005555A0">
      <w:pPr>
        <w:pStyle w:val="Heading9"/>
        <w:jc w:val="both"/>
        <w:rPr>
          <w:sz w:val="16"/>
          <w:szCs w:val="20"/>
        </w:rPr>
      </w:pPr>
      <w:r w:rsidRPr="00EC23A7">
        <w:rPr>
          <w:b/>
          <w:bCs/>
          <w:sz w:val="16"/>
          <w:szCs w:val="20"/>
        </w:rPr>
        <w:t>Financial calendar:</w:t>
      </w:r>
      <w:r w:rsidRPr="00EC23A7">
        <w:rPr>
          <w:b/>
          <w:bCs/>
          <w:i/>
          <w:iCs/>
          <w:sz w:val="16"/>
          <w:szCs w:val="20"/>
        </w:rPr>
        <w:t xml:space="preserve"> </w:t>
      </w:r>
      <w:r w:rsidRPr="00EC23A7">
        <w:rPr>
          <w:sz w:val="16"/>
          <w:szCs w:val="20"/>
        </w:rPr>
        <w:t xml:space="preserve">The Company should publish a list of dates for financial reporting, general meetings, dividend payments, public presentations, and information on any (close period) in advance of financial reporting dates if the Company practices such an arrangement. </w:t>
      </w:r>
    </w:p>
    <w:p w14:paraId="19AEA889" w14:textId="77777777" w:rsidR="005555A0" w:rsidRPr="00EC23A7" w:rsidRDefault="005555A0" w:rsidP="005555A0">
      <w:pPr>
        <w:pStyle w:val="Heading9"/>
        <w:jc w:val="both"/>
        <w:rPr>
          <w:sz w:val="16"/>
          <w:szCs w:val="20"/>
        </w:rPr>
      </w:pPr>
      <w:r w:rsidRPr="00EC23A7">
        <w:rPr>
          <w:b/>
          <w:bCs/>
          <w:sz w:val="16"/>
          <w:szCs w:val="20"/>
        </w:rPr>
        <w:t>Contact details:</w:t>
      </w:r>
      <w:r w:rsidRPr="00EC23A7">
        <w:rPr>
          <w:b/>
          <w:bCs/>
          <w:i/>
          <w:iCs/>
          <w:sz w:val="16"/>
          <w:szCs w:val="20"/>
        </w:rPr>
        <w:t xml:space="preserve"> </w:t>
      </w:r>
      <w:r w:rsidRPr="00EC23A7">
        <w:rPr>
          <w:sz w:val="16"/>
          <w:szCs w:val="20"/>
        </w:rPr>
        <w:t xml:space="preserve">The Company should publish contact details for dedicates IR resources, including e-mail addresses. </w:t>
      </w:r>
    </w:p>
    <w:p w14:paraId="5C845BAC" w14:textId="77777777" w:rsidR="005555A0" w:rsidRPr="00EC23A7" w:rsidRDefault="005555A0" w:rsidP="005555A0">
      <w:pPr>
        <w:pStyle w:val="Heading1"/>
        <w:rPr>
          <w:szCs w:val="28"/>
        </w:rPr>
      </w:pPr>
      <w:bookmarkStart w:id="11" w:name="_Toc52543619"/>
      <w:bookmarkStart w:id="12" w:name="_Toc69984233"/>
      <w:r w:rsidRPr="00EC23A7">
        <w:rPr>
          <w:szCs w:val="28"/>
        </w:rPr>
        <w:t>Communication using other channels</w:t>
      </w:r>
      <w:bookmarkEnd w:id="11"/>
      <w:bookmarkEnd w:id="12"/>
    </w:p>
    <w:p w14:paraId="5CBDAF66" w14:textId="77777777" w:rsidR="005555A0" w:rsidRPr="00EC23A7" w:rsidRDefault="005555A0" w:rsidP="005555A0">
      <w:pPr>
        <w:pStyle w:val="BodyText"/>
        <w:spacing w:after="60"/>
        <w:rPr>
          <w:b/>
          <w:bCs/>
          <w:i/>
          <w:iCs/>
        </w:rPr>
      </w:pPr>
      <w:r w:rsidRPr="00EC23A7">
        <w:rPr>
          <w:b/>
          <w:bCs/>
          <w:i/>
          <w:iCs/>
        </w:rPr>
        <w:t>Social media</w:t>
      </w:r>
    </w:p>
    <w:tbl>
      <w:tblPr>
        <w:tblStyle w:val="TableGrid"/>
        <w:tblW w:w="0" w:type="auto"/>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insideH w:val="single" w:sz="12" w:space="0" w:color="E7E6E6" w:themeColor="background2"/>
          <w:insideV w:val="single" w:sz="12" w:space="0" w:color="E7E6E6" w:themeColor="background2"/>
        </w:tblBorders>
        <w:tblLook w:val="04A0" w:firstRow="1" w:lastRow="0" w:firstColumn="1" w:lastColumn="0" w:noHBand="0" w:noVBand="1"/>
      </w:tblPr>
      <w:tblGrid>
        <w:gridCol w:w="1101"/>
        <w:gridCol w:w="7895"/>
      </w:tblGrid>
      <w:tr w:rsidR="005555A0" w:rsidRPr="00DC1950" w14:paraId="3F8FD093" w14:textId="77777777" w:rsidTr="002E7096">
        <w:tc>
          <w:tcPr>
            <w:tcW w:w="105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3FEB4B1" w14:textId="77777777" w:rsidR="005555A0" w:rsidRPr="00EC23A7" w:rsidRDefault="005555A0" w:rsidP="002E7096">
            <w:pPr>
              <w:pStyle w:val="BodyText"/>
              <w:spacing w:before="120" w:after="120"/>
              <w:jc w:val="both"/>
            </w:pPr>
            <w:r w:rsidRPr="00EC23A7">
              <w:rPr>
                <w:noProof/>
                <w:lang w:eastAsia="nb-NO"/>
              </w:rPr>
              <w:drawing>
                <wp:inline distT="0" distB="0" distL="0" distR="0" wp14:anchorId="2D8321E9" wp14:editId="1AB8A0D1">
                  <wp:extent cx="561975" cy="561975"/>
                  <wp:effectExtent l="0" t="0" r="0" b="0"/>
                  <wp:docPr id="8" name="Graphic 8" descr="Social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ocialnetwo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61975" cy="561975"/>
                          </a:xfrm>
                          <a:prstGeom prst="rect">
                            <a:avLst/>
                          </a:prstGeom>
                        </pic:spPr>
                      </pic:pic>
                    </a:graphicData>
                  </a:graphic>
                </wp:inline>
              </w:drawing>
            </w:r>
          </w:p>
        </w:tc>
        <w:tc>
          <w:tcPr>
            <w:tcW w:w="826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D66E5F0" w14:textId="77777777" w:rsidR="005555A0" w:rsidRPr="00EC23A7" w:rsidRDefault="005555A0" w:rsidP="002E7096">
            <w:pPr>
              <w:pStyle w:val="BodyText"/>
              <w:spacing w:before="120" w:after="120"/>
              <w:jc w:val="both"/>
              <w:rPr>
                <w:i/>
                <w:iCs/>
              </w:rPr>
            </w:pPr>
            <w:r w:rsidRPr="00EC23A7">
              <w:rPr>
                <w:i/>
                <w:iCs/>
              </w:rPr>
              <w:t>If the Company uses social media in its communication with the market, it should establish clear internal guidelines for how this shall take place to include the individuals who are chosen to speak in public on behalf of the Company.</w:t>
            </w:r>
          </w:p>
        </w:tc>
      </w:tr>
    </w:tbl>
    <w:p w14:paraId="0B416D93" w14:textId="77777777" w:rsidR="005555A0" w:rsidRPr="00EC23A7" w:rsidRDefault="005555A0" w:rsidP="005555A0">
      <w:pPr>
        <w:pStyle w:val="BodyText"/>
        <w:jc w:val="both"/>
      </w:pPr>
      <w:r w:rsidRPr="00EC23A7">
        <w:br/>
        <w:t xml:space="preserve">These guidelines should also focus on the difference between private communication and company information. The tone and form of communication through social media often differ from other channels and is normally less </w:t>
      </w:r>
      <w:r w:rsidRPr="00EC23A7">
        <w:lastRenderedPageBreak/>
        <w:t xml:space="preserve">formal. The Company shall therefore ensure that the information given is not shared in such a way that it may be misleading to the market. </w:t>
      </w:r>
      <w:r w:rsidRPr="00EC23A7">
        <w:rPr>
          <w:b/>
          <w:bCs/>
          <w:i/>
          <w:iCs/>
        </w:rPr>
        <w:t>Notifiable information must always be published in accordance with applicable regulations prior to being published in social media or via other channels</w:t>
      </w:r>
      <w:r w:rsidRPr="00EC23A7">
        <w:t>.</w:t>
      </w:r>
    </w:p>
    <w:p w14:paraId="68154F88" w14:textId="77777777" w:rsidR="005555A0" w:rsidRPr="00EC23A7" w:rsidRDefault="005555A0" w:rsidP="005555A0">
      <w:pPr>
        <w:pStyle w:val="BodyText"/>
        <w:keepNext/>
        <w:keepLines/>
        <w:spacing w:after="60"/>
        <w:rPr>
          <w:b/>
          <w:bCs/>
          <w:i/>
          <w:iCs/>
        </w:rPr>
      </w:pPr>
      <w:r w:rsidRPr="00EC23A7">
        <w:rPr>
          <w:b/>
          <w:bCs/>
          <w:i/>
          <w:iCs/>
        </w:rPr>
        <w:t xml:space="preserve">Contact with analysts and equity research </w:t>
      </w:r>
    </w:p>
    <w:tbl>
      <w:tblPr>
        <w:tblStyle w:val="TableGrid"/>
        <w:tblW w:w="0" w:type="auto"/>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insideH w:val="single" w:sz="12" w:space="0" w:color="E7E6E6" w:themeColor="background2"/>
          <w:insideV w:val="single" w:sz="12" w:space="0" w:color="E7E6E6" w:themeColor="background2"/>
        </w:tblBorders>
        <w:tblLook w:val="04A0" w:firstRow="1" w:lastRow="0" w:firstColumn="1" w:lastColumn="0" w:noHBand="0" w:noVBand="1"/>
      </w:tblPr>
      <w:tblGrid>
        <w:gridCol w:w="954"/>
        <w:gridCol w:w="8042"/>
      </w:tblGrid>
      <w:tr w:rsidR="005555A0" w:rsidRPr="00DC1950" w14:paraId="32AC84FD" w14:textId="77777777" w:rsidTr="002E7096">
        <w:tc>
          <w:tcPr>
            <w:tcW w:w="98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498F7EA" w14:textId="77777777" w:rsidR="005555A0" w:rsidRPr="00EC23A7" w:rsidRDefault="005555A0" w:rsidP="002E7096">
            <w:pPr>
              <w:pStyle w:val="BodyText"/>
              <w:keepNext/>
              <w:keepLines/>
              <w:spacing w:before="120" w:after="120"/>
            </w:pPr>
            <w:r w:rsidRPr="00EC23A7">
              <w:rPr>
                <w:noProof/>
                <w:lang w:eastAsia="nb-NO"/>
              </w:rPr>
              <w:drawing>
                <wp:anchor distT="0" distB="0" distL="114300" distR="114300" simplePos="0" relativeHeight="251661312" behindDoc="0" locked="0" layoutInCell="1" allowOverlap="1" wp14:anchorId="37FE3C1B" wp14:editId="2F54AAE8">
                  <wp:simplePos x="0" y="0"/>
                  <wp:positionH relativeFrom="column">
                    <wp:posOffset>-71755</wp:posOffset>
                  </wp:positionH>
                  <wp:positionV relativeFrom="paragraph">
                    <wp:posOffset>-2540</wp:posOffset>
                  </wp:positionV>
                  <wp:extent cx="581025" cy="581025"/>
                  <wp:effectExtent l="0" t="0" r="9525" b="0"/>
                  <wp:wrapNone/>
                  <wp:docPr id="12" name="Graphic 12" descr="Handsh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ndshake.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p>
        </w:tc>
        <w:tc>
          <w:tcPr>
            <w:tcW w:w="83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B6B87E0" w14:textId="77777777" w:rsidR="005555A0" w:rsidRPr="00EC23A7" w:rsidRDefault="005555A0" w:rsidP="002E7096">
            <w:pPr>
              <w:pStyle w:val="BodyText"/>
              <w:keepNext/>
              <w:keepLines/>
              <w:spacing w:before="120" w:after="120"/>
              <w:jc w:val="both"/>
              <w:rPr>
                <w:i/>
                <w:iCs/>
              </w:rPr>
            </w:pPr>
            <w:r w:rsidRPr="00EC23A7">
              <w:rPr>
                <w:i/>
                <w:iCs/>
              </w:rPr>
              <w:t xml:space="preserve">The relations between the Company and individual analyst should be characterized by openness. </w:t>
            </w:r>
          </w:p>
          <w:p w14:paraId="77487B3B" w14:textId="77777777" w:rsidR="005555A0" w:rsidRPr="00EC23A7" w:rsidRDefault="005555A0" w:rsidP="002E7096">
            <w:pPr>
              <w:pStyle w:val="BodyText"/>
              <w:keepNext/>
              <w:keepLines/>
              <w:spacing w:before="120" w:after="120"/>
              <w:jc w:val="both"/>
              <w:rPr>
                <w:i/>
                <w:iCs/>
              </w:rPr>
            </w:pPr>
            <w:r w:rsidRPr="00EC23A7">
              <w:rPr>
                <w:i/>
                <w:iCs/>
              </w:rPr>
              <w:t xml:space="preserve">The Company should have internal guidelines on contacts with analysts and on managing research in order to ensure that important information is not shares in a discriminatory fashion. </w:t>
            </w:r>
          </w:p>
        </w:tc>
      </w:tr>
    </w:tbl>
    <w:p w14:paraId="1F76AFCF" w14:textId="77777777" w:rsidR="005555A0" w:rsidRPr="00EC23A7" w:rsidRDefault="005555A0" w:rsidP="005555A0">
      <w:pPr>
        <w:pStyle w:val="BodyText"/>
        <w:jc w:val="both"/>
      </w:pPr>
      <w:r w:rsidRPr="00EC23A7">
        <w:br/>
        <w:t>Analysts shall not be provided with inside information, or any such information in advance of its publication to any party where the recipient undertakes not to use the information prior to its publication. The Company should exercise caution in terms of the information it communicates and should ensure that it does not communicate information that taken together could be of material importance and thus give the analyst an advantage.</w:t>
      </w:r>
    </w:p>
    <w:p w14:paraId="27436022" w14:textId="77777777" w:rsidR="005555A0" w:rsidRPr="00EC23A7" w:rsidRDefault="005555A0" w:rsidP="005555A0">
      <w:pPr>
        <w:pStyle w:val="BodyText"/>
        <w:jc w:val="both"/>
      </w:pPr>
      <w:r w:rsidRPr="00EC23A7">
        <w:t xml:space="preserve">Presentations for analysts shall be arranged as joint presentations for all analysts, and conferences for analysts should be open. Once information has been provided to any analyst, the Company should not refuse to provide others with the same information unless it has objective factual grounds for doing so. Information for analysts should be made available to all interested parties via the Company’s website. </w:t>
      </w:r>
    </w:p>
    <w:p w14:paraId="5ECBBA36" w14:textId="77777777" w:rsidR="005555A0" w:rsidRPr="00EC23A7" w:rsidRDefault="005555A0" w:rsidP="005555A0">
      <w:pPr>
        <w:pStyle w:val="BodyText"/>
        <w:jc w:val="both"/>
      </w:pPr>
      <w:r w:rsidRPr="00EC23A7">
        <w:t>As a rule, the Company should not comment directly on estimates and research. To the extent that the Company thinks that the forecasts of analysts or the market as a whole are too high or too low and it wishes to draw attention to this, the Company must do this by issuing a stock exchange announcement. It is, however, acceptable for the Company to point out concrete factual errors in relation to matters that the company itself has previously disclosed where such have been used as the basis for research and estimates.</w:t>
      </w:r>
    </w:p>
    <w:p w14:paraId="48B39CDB" w14:textId="77777777" w:rsidR="005555A0" w:rsidRDefault="005555A0" w:rsidP="005555A0">
      <w:pPr>
        <w:pStyle w:val="BodyText"/>
        <w:jc w:val="both"/>
      </w:pPr>
      <w:r w:rsidRPr="00EC23A7">
        <w:t>The Company should be cautious about actively distributing or publishing reports produced by analysts that it has been given permission to distribute externally as such distribution may be interpreted as the company endorsing the content of the report(s) in question.</w:t>
      </w:r>
    </w:p>
    <w:p w14:paraId="2D956556" w14:textId="77777777" w:rsidR="005555A0" w:rsidRPr="00EC23A7" w:rsidRDefault="005555A0" w:rsidP="005555A0">
      <w:pPr>
        <w:pStyle w:val="BodyText"/>
        <w:jc w:val="center"/>
      </w:pPr>
      <w:r>
        <w:t>* * *</w:t>
      </w:r>
    </w:p>
    <w:p w14:paraId="575D5DAC" w14:textId="77777777" w:rsidR="005555A0" w:rsidRPr="00A23B2C" w:rsidRDefault="005555A0" w:rsidP="005555A0">
      <w:pPr>
        <w:spacing w:after="200" w:line="276" w:lineRule="auto"/>
        <w:jc w:val="both"/>
        <w:rPr>
          <w:rFonts w:ascii="Verdana" w:hAnsi="Verdana"/>
          <w:sz w:val="18"/>
          <w:lang w:val="en-GB"/>
        </w:rPr>
      </w:pPr>
    </w:p>
    <w:p w14:paraId="33DF69A0" w14:textId="77777777" w:rsidR="005555A0" w:rsidRPr="00A23B2C" w:rsidRDefault="005555A0" w:rsidP="005555A0">
      <w:pPr>
        <w:spacing w:after="200" w:line="276" w:lineRule="auto"/>
        <w:rPr>
          <w:rFonts w:ascii="Verdana" w:hAnsi="Verdana"/>
          <w:sz w:val="16"/>
          <w:szCs w:val="16"/>
          <w:lang w:val="en-GB"/>
        </w:rPr>
      </w:pPr>
    </w:p>
    <w:p w14:paraId="160F9B3B" w14:textId="77777777" w:rsidR="000B47BE" w:rsidRDefault="000B47BE"/>
    <w:sectPr w:rsidR="000B47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EFD3C" w14:textId="77777777" w:rsidR="00FA3355" w:rsidRDefault="00FA3355" w:rsidP="005555A0">
      <w:r>
        <w:separator/>
      </w:r>
    </w:p>
  </w:endnote>
  <w:endnote w:type="continuationSeparator" w:id="0">
    <w:p w14:paraId="0683EE66" w14:textId="77777777" w:rsidR="00FA3355" w:rsidRDefault="00FA3355" w:rsidP="0055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B26CB" w14:textId="77777777" w:rsidR="00FA3355" w:rsidRDefault="00FA3355" w:rsidP="005555A0">
      <w:r>
        <w:separator/>
      </w:r>
    </w:p>
  </w:footnote>
  <w:footnote w:type="continuationSeparator" w:id="0">
    <w:p w14:paraId="7AC2173C" w14:textId="77777777" w:rsidR="00FA3355" w:rsidRDefault="00FA3355" w:rsidP="005555A0">
      <w:r>
        <w:continuationSeparator/>
      </w:r>
    </w:p>
  </w:footnote>
  <w:footnote w:id="1">
    <w:p w14:paraId="5E2D4A9D" w14:textId="77777777" w:rsidR="005555A0" w:rsidRPr="003210D0" w:rsidRDefault="005555A0" w:rsidP="005555A0">
      <w:pPr>
        <w:pStyle w:val="FootnoteText"/>
        <w:rPr>
          <w:lang w:val="en-GB"/>
        </w:rPr>
      </w:pPr>
      <w:r w:rsidRPr="003210D0">
        <w:rPr>
          <w:rStyle w:val="FootnoteReference"/>
          <w:lang w:val="en-GB"/>
        </w:rPr>
        <w:footnoteRef/>
      </w:r>
      <w:r w:rsidRPr="003210D0">
        <w:rPr>
          <w:lang w:val="en-GB"/>
        </w:rPr>
        <w:t xml:space="preserve"> IR team to be determined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4160"/>
    <w:multiLevelType w:val="multilevel"/>
    <w:tmpl w:val="2C36936E"/>
    <w:lvl w:ilvl="0">
      <w:start w:val="1"/>
      <w:numFmt w:val="decimal"/>
      <w:pStyle w:val="Heading1"/>
      <w:lvlText w:val="%1"/>
      <w:lvlJc w:val="left"/>
      <w:pPr>
        <w:ind w:left="850" w:hanging="850"/>
      </w:pPr>
      <w:rPr>
        <w:rFonts w:hint="default"/>
        <w:b/>
      </w:rPr>
    </w:lvl>
    <w:lvl w:ilvl="1">
      <w:start w:val="3"/>
      <w:numFmt w:val="decimal"/>
      <w:pStyle w:val="Heading2"/>
      <w:lvlText w:val="%1.%2"/>
      <w:lvlJc w:val="left"/>
      <w:pPr>
        <w:ind w:left="850" w:hanging="850"/>
      </w:pPr>
      <w:rPr>
        <w:rFonts w:hint="default"/>
        <w:b/>
        <w:sz w:val="16"/>
        <w:szCs w:val="24"/>
      </w:rPr>
    </w:lvl>
    <w:lvl w:ilvl="2">
      <w:start w:val="1"/>
      <w:numFmt w:val="decimal"/>
      <w:pStyle w:val="Heading3"/>
      <w:lvlText w:val="%1.%2.%3"/>
      <w:lvlJc w:val="left"/>
      <w:pPr>
        <w:ind w:left="850" w:hanging="850"/>
      </w:pPr>
      <w:rPr>
        <w:rFonts w:hint="default"/>
        <w:i/>
        <w:iCs w:val="0"/>
      </w:rPr>
    </w:lvl>
    <w:lvl w:ilvl="3">
      <w:start w:val="1"/>
      <w:numFmt w:val="decimal"/>
      <w:pStyle w:val="Heading4"/>
      <w:lvlText w:val="%1.%2.%3.%4"/>
      <w:lvlJc w:val="left"/>
      <w:pPr>
        <w:ind w:left="850" w:hanging="850"/>
      </w:pPr>
      <w:rPr>
        <w:rFonts w:hint="default"/>
      </w:rPr>
    </w:lvl>
    <w:lvl w:ilvl="4">
      <w:start w:val="4"/>
      <w:numFmt w:val="decimal"/>
      <w:pStyle w:val="Heading5"/>
      <w:lvlText w:val="%5"/>
      <w:lvlJc w:val="left"/>
      <w:pPr>
        <w:ind w:left="850" w:hanging="850"/>
      </w:pPr>
      <w:rPr>
        <w:rFonts w:hint="default"/>
        <w:b/>
        <w:bCs w:val="0"/>
        <w:sz w:val="16"/>
        <w:szCs w:val="16"/>
      </w:rPr>
    </w:lvl>
    <w:lvl w:ilvl="5">
      <w:start w:val="1"/>
      <w:numFmt w:val="decimal"/>
      <w:pStyle w:val="Heading6"/>
      <w:lvlText w:val="%5.%6"/>
      <w:lvlJc w:val="left"/>
      <w:pPr>
        <w:ind w:left="850" w:hanging="850"/>
      </w:pPr>
      <w:rPr>
        <w:rFonts w:hint="default"/>
      </w:rPr>
    </w:lvl>
    <w:lvl w:ilvl="6">
      <w:start w:val="1"/>
      <w:numFmt w:val="decimal"/>
      <w:pStyle w:val="Heading7"/>
      <w:lvlText w:val="%5.%6.%7"/>
      <w:lvlJc w:val="left"/>
      <w:pPr>
        <w:ind w:left="850" w:hanging="850"/>
      </w:pPr>
      <w:rPr>
        <w:rFonts w:hint="default"/>
      </w:rPr>
    </w:lvl>
    <w:lvl w:ilvl="7">
      <w:start w:val="1"/>
      <w:numFmt w:val="lowerLetter"/>
      <w:pStyle w:val="Heading8"/>
      <w:lvlText w:val="%8)"/>
      <w:lvlJc w:val="left"/>
      <w:pPr>
        <w:tabs>
          <w:tab w:val="num" w:pos="850"/>
        </w:tabs>
        <w:ind w:left="850" w:hanging="850"/>
      </w:pPr>
      <w:rPr>
        <w:rFonts w:hint="default"/>
      </w:rPr>
    </w:lvl>
    <w:lvl w:ilvl="8">
      <w:start w:val="1"/>
      <w:numFmt w:val="lowerRoman"/>
      <w:pStyle w:val="Heading9"/>
      <w:lvlText w:val="(%9)"/>
      <w:lvlJc w:val="left"/>
      <w:pPr>
        <w:ind w:left="850" w:hanging="850"/>
      </w:pPr>
      <w:rPr>
        <w:rFonts w:hint="default"/>
        <w:b w:val="0"/>
        <w:bCs w:val="0"/>
      </w:rPr>
    </w:lvl>
  </w:abstractNum>
  <w:abstractNum w:abstractNumId="1" w15:restartNumberingAfterBreak="0">
    <w:nsid w:val="44D010E4"/>
    <w:multiLevelType w:val="hybridMultilevel"/>
    <w:tmpl w:val="D902B3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9A13849"/>
    <w:multiLevelType w:val="hybridMultilevel"/>
    <w:tmpl w:val="9F6C90A6"/>
    <w:lvl w:ilvl="0" w:tplc="BDD29CF6">
      <w:start w:val="1"/>
      <w:numFmt w:val="bullet"/>
      <w:lvlText w:val=""/>
      <w:lvlJc w:val="left"/>
      <w:pPr>
        <w:ind w:left="720" w:hanging="360"/>
      </w:pPr>
      <w:rPr>
        <w:rFonts w:ascii="Symbol" w:hAnsi="Symbol" w:hint="default"/>
        <w:sz w:val="18"/>
        <w:szCs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A0"/>
    <w:rsid w:val="000B47BE"/>
    <w:rsid w:val="005555A0"/>
    <w:rsid w:val="00934B53"/>
    <w:rsid w:val="00DF1477"/>
    <w:rsid w:val="00FA3355"/>
    <w:rsid w:val="00FF3D1E"/>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21CF8A14"/>
  <w15:chartTrackingRefBased/>
  <w15:docId w15:val="{485E4FEE-0BD1-AF42-8DE1-DB319E88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A0"/>
    <w:rPr>
      <w:rFonts w:eastAsiaTheme="minorEastAsia"/>
      <w:sz w:val="22"/>
      <w:szCs w:val="22"/>
      <w:lang w:val="nb-NO" w:eastAsia="nb-NO"/>
    </w:rPr>
  </w:style>
  <w:style w:type="paragraph" w:styleId="Heading1">
    <w:name w:val="heading 1"/>
    <w:next w:val="BodyText"/>
    <w:link w:val="Heading1Char"/>
    <w:qFormat/>
    <w:rsid w:val="005555A0"/>
    <w:pPr>
      <w:keepNext/>
      <w:numPr>
        <w:numId w:val="2"/>
      </w:numPr>
      <w:spacing w:before="360" w:after="60" w:line="300" w:lineRule="auto"/>
      <w:outlineLvl w:val="0"/>
    </w:pPr>
    <w:rPr>
      <w:rFonts w:ascii="Verdana" w:eastAsia="Times New Roman" w:hAnsi="Verdana" w:cs="Arial"/>
      <w:b/>
      <w:bCs/>
      <w:caps/>
      <w:sz w:val="16"/>
      <w:szCs w:val="32"/>
      <w:lang w:val="en-US"/>
    </w:rPr>
  </w:style>
  <w:style w:type="paragraph" w:styleId="Heading2">
    <w:name w:val="heading 2"/>
    <w:next w:val="BodyText"/>
    <w:link w:val="Heading2Char"/>
    <w:qFormat/>
    <w:rsid w:val="005555A0"/>
    <w:pPr>
      <w:keepNext/>
      <w:numPr>
        <w:ilvl w:val="1"/>
        <w:numId w:val="2"/>
      </w:numPr>
      <w:spacing w:after="60" w:line="300" w:lineRule="auto"/>
      <w:outlineLvl w:val="1"/>
    </w:pPr>
    <w:rPr>
      <w:rFonts w:ascii="Verdana" w:eastAsia="Times New Roman" w:hAnsi="Verdana" w:cs="Arial"/>
      <w:b/>
      <w:bCs/>
      <w:iCs/>
      <w:sz w:val="18"/>
      <w:szCs w:val="28"/>
      <w:lang w:val="en-US"/>
    </w:rPr>
  </w:style>
  <w:style w:type="paragraph" w:styleId="Heading3">
    <w:name w:val="heading 3"/>
    <w:next w:val="BodyText"/>
    <w:link w:val="Heading3Char"/>
    <w:qFormat/>
    <w:rsid w:val="005555A0"/>
    <w:pPr>
      <w:numPr>
        <w:ilvl w:val="2"/>
        <w:numId w:val="2"/>
      </w:numPr>
      <w:spacing w:after="240" w:line="300" w:lineRule="auto"/>
      <w:outlineLvl w:val="2"/>
    </w:pPr>
    <w:rPr>
      <w:rFonts w:ascii="Verdana" w:eastAsia="Times New Roman" w:hAnsi="Verdana" w:cs="Arial"/>
      <w:bCs/>
      <w:sz w:val="18"/>
      <w:szCs w:val="26"/>
      <w:lang w:val="en-GB"/>
    </w:rPr>
  </w:style>
  <w:style w:type="paragraph" w:styleId="Heading4">
    <w:name w:val="heading 4"/>
    <w:next w:val="BodyText"/>
    <w:link w:val="Heading4Char"/>
    <w:qFormat/>
    <w:rsid w:val="005555A0"/>
    <w:pPr>
      <w:keepNext/>
      <w:numPr>
        <w:ilvl w:val="3"/>
        <w:numId w:val="2"/>
      </w:numPr>
      <w:spacing w:after="60" w:line="300" w:lineRule="auto"/>
      <w:outlineLvl w:val="3"/>
    </w:pPr>
    <w:rPr>
      <w:rFonts w:ascii="Verdana" w:eastAsia="Times New Roman" w:hAnsi="Verdana" w:cs="Times New Roman"/>
      <w:bCs/>
      <w:sz w:val="18"/>
      <w:szCs w:val="28"/>
      <w:lang w:val="en-US"/>
    </w:rPr>
  </w:style>
  <w:style w:type="paragraph" w:styleId="Heading5">
    <w:name w:val="heading 5"/>
    <w:next w:val="BodyText"/>
    <w:link w:val="Heading5Char"/>
    <w:qFormat/>
    <w:rsid w:val="005555A0"/>
    <w:pPr>
      <w:numPr>
        <w:ilvl w:val="4"/>
        <w:numId w:val="2"/>
      </w:numPr>
      <w:spacing w:after="240" w:line="300" w:lineRule="auto"/>
      <w:outlineLvl w:val="4"/>
    </w:pPr>
    <w:rPr>
      <w:rFonts w:ascii="Verdana" w:eastAsia="Times New Roman" w:hAnsi="Verdana" w:cs="Times New Roman"/>
      <w:bCs/>
      <w:iCs/>
      <w:sz w:val="18"/>
      <w:szCs w:val="26"/>
      <w:lang w:val="en-US"/>
    </w:rPr>
  </w:style>
  <w:style w:type="paragraph" w:styleId="Heading6">
    <w:name w:val="heading 6"/>
    <w:next w:val="BodyText"/>
    <w:link w:val="Heading6Char"/>
    <w:qFormat/>
    <w:rsid w:val="005555A0"/>
    <w:pPr>
      <w:numPr>
        <w:ilvl w:val="5"/>
        <w:numId w:val="2"/>
      </w:numPr>
      <w:spacing w:after="240" w:line="300" w:lineRule="auto"/>
      <w:outlineLvl w:val="5"/>
    </w:pPr>
    <w:rPr>
      <w:rFonts w:ascii="Verdana" w:eastAsia="Times New Roman" w:hAnsi="Verdana" w:cs="Times New Roman"/>
      <w:bCs/>
      <w:sz w:val="18"/>
      <w:szCs w:val="22"/>
      <w:lang w:val="en-US"/>
    </w:rPr>
  </w:style>
  <w:style w:type="paragraph" w:styleId="Heading7">
    <w:name w:val="heading 7"/>
    <w:next w:val="BodyText"/>
    <w:link w:val="Heading7Char"/>
    <w:qFormat/>
    <w:rsid w:val="005555A0"/>
    <w:pPr>
      <w:numPr>
        <w:ilvl w:val="6"/>
        <w:numId w:val="2"/>
      </w:numPr>
      <w:spacing w:after="240" w:line="300" w:lineRule="auto"/>
      <w:outlineLvl w:val="6"/>
    </w:pPr>
    <w:rPr>
      <w:rFonts w:ascii="Verdana" w:eastAsia="Times New Roman" w:hAnsi="Verdana" w:cs="Times New Roman"/>
      <w:sz w:val="18"/>
      <w:lang w:val="en-US"/>
    </w:rPr>
  </w:style>
  <w:style w:type="paragraph" w:styleId="Heading8">
    <w:name w:val="heading 8"/>
    <w:next w:val="BodyText"/>
    <w:link w:val="Heading8Char"/>
    <w:qFormat/>
    <w:rsid w:val="005555A0"/>
    <w:pPr>
      <w:numPr>
        <w:ilvl w:val="7"/>
        <w:numId w:val="2"/>
      </w:numPr>
      <w:spacing w:after="240" w:line="300" w:lineRule="auto"/>
      <w:outlineLvl w:val="7"/>
    </w:pPr>
    <w:rPr>
      <w:rFonts w:ascii="Verdana" w:eastAsia="Times New Roman" w:hAnsi="Verdana" w:cs="Times New Roman"/>
      <w:iCs/>
      <w:sz w:val="18"/>
      <w:lang w:val="en-US"/>
    </w:rPr>
  </w:style>
  <w:style w:type="paragraph" w:styleId="Heading9">
    <w:name w:val="heading 9"/>
    <w:link w:val="Heading9Char"/>
    <w:qFormat/>
    <w:rsid w:val="005555A0"/>
    <w:pPr>
      <w:numPr>
        <w:ilvl w:val="8"/>
        <w:numId w:val="2"/>
      </w:numPr>
      <w:spacing w:after="240" w:line="300" w:lineRule="auto"/>
      <w:outlineLvl w:val="8"/>
    </w:pPr>
    <w:rPr>
      <w:rFonts w:ascii="Verdana" w:eastAsia="Times New Roman" w:hAnsi="Verdana" w:cs="Arial"/>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5A0"/>
    <w:rPr>
      <w:rFonts w:ascii="Verdana" w:eastAsia="Times New Roman" w:hAnsi="Verdana" w:cs="Arial"/>
      <w:b/>
      <w:bCs/>
      <w:caps/>
      <w:sz w:val="16"/>
      <w:szCs w:val="32"/>
      <w:lang w:val="en-US"/>
    </w:rPr>
  </w:style>
  <w:style w:type="character" w:customStyle="1" w:styleId="Heading2Char">
    <w:name w:val="Heading 2 Char"/>
    <w:basedOn w:val="DefaultParagraphFont"/>
    <w:link w:val="Heading2"/>
    <w:rsid w:val="005555A0"/>
    <w:rPr>
      <w:rFonts w:ascii="Verdana" w:eastAsia="Times New Roman" w:hAnsi="Verdana" w:cs="Arial"/>
      <w:b/>
      <w:bCs/>
      <w:iCs/>
      <w:sz w:val="18"/>
      <w:szCs w:val="28"/>
      <w:lang w:val="en-US"/>
    </w:rPr>
  </w:style>
  <w:style w:type="character" w:customStyle="1" w:styleId="Heading3Char">
    <w:name w:val="Heading 3 Char"/>
    <w:basedOn w:val="DefaultParagraphFont"/>
    <w:link w:val="Heading3"/>
    <w:rsid w:val="005555A0"/>
    <w:rPr>
      <w:rFonts w:ascii="Verdana" w:eastAsia="Times New Roman" w:hAnsi="Verdana" w:cs="Arial"/>
      <w:bCs/>
      <w:sz w:val="18"/>
      <w:szCs w:val="26"/>
      <w:lang w:val="en-GB"/>
    </w:rPr>
  </w:style>
  <w:style w:type="character" w:customStyle="1" w:styleId="Heading4Char">
    <w:name w:val="Heading 4 Char"/>
    <w:basedOn w:val="DefaultParagraphFont"/>
    <w:link w:val="Heading4"/>
    <w:rsid w:val="005555A0"/>
    <w:rPr>
      <w:rFonts w:ascii="Verdana" w:eastAsia="Times New Roman" w:hAnsi="Verdana" w:cs="Times New Roman"/>
      <w:bCs/>
      <w:sz w:val="18"/>
      <w:szCs w:val="28"/>
      <w:lang w:val="en-US"/>
    </w:rPr>
  </w:style>
  <w:style w:type="character" w:customStyle="1" w:styleId="Heading5Char">
    <w:name w:val="Heading 5 Char"/>
    <w:basedOn w:val="DefaultParagraphFont"/>
    <w:link w:val="Heading5"/>
    <w:rsid w:val="005555A0"/>
    <w:rPr>
      <w:rFonts w:ascii="Verdana" w:eastAsia="Times New Roman" w:hAnsi="Verdana" w:cs="Times New Roman"/>
      <w:bCs/>
      <w:iCs/>
      <w:sz w:val="18"/>
      <w:szCs w:val="26"/>
      <w:lang w:val="en-US"/>
    </w:rPr>
  </w:style>
  <w:style w:type="character" w:customStyle="1" w:styleId="Heading6Char">
    <w:name w:val="Heading 6 Char"/>
    <w:basedOn w:val="DefaultParagraphFont"/>
    <w:link w:val="Heading6"/>
    <w:rsid w:val="005555A0"/>
    <w:rPr>
      <w:rFonts w:ascii="Verdana" w:eastAsia="Times New Roman" w:hAnsi="Verdana" w:cs="Times New Roman"/>
      <w:bCs/>
      <w:sz w:val="18"/>
      <w:szCs w:val="22"/>
      <w:lang w:val="en-US"/>
    </w:rPr>
  </w:style>
  <w:style w:type="character" w:customStyle="1" w:styleId="Heading7Char">
    <w:name w:val="Heading 7 Char"/>
    <w:basedOn w:val="DefaultParagraphFont"/>
    <w:link w:val="Heading7"/>
    <w:rsid w:val="005555A0"/>
    <w:rPr>
      <w:rFonts w:ascii="Verdana" w:eastAsia="Times New Roman" w:hAnsi="Verdana" w:cs="Times New Roman"/>
      <w:sz w:val="18"/>
      <w:lang w:val="en-US"/>
    </w:rPr>
  </w:style>
  <w:style w:type="character" w:customStyle="1" w:styleId="Heading8Char">
    <w:name w:val="Heading 8 Char"/>
    <w:basedOn w:val="DefaultParagraphFont"/>
    <w:link w:val="Heading8"/>
    <w:rsid w:val="005555A0"/>
    <w:rPr>
      <w:rFonts w:ascii="Verdana" w:eastAsia="Times New Roman" w:hAnsi="Verdana" w:cs="Times New Roman"/>
      <w:iCs/>
      <w:sz w:val="18"/>
      <w:lang w:val="en-US"/>
    </w:rPr>
  </w:style>
  <w:style w:type="character" w:customStyle="1" w:styleId="Heading9Char">
    <w:name w:val="Heading 9 Char"/>
    <w:basedOn w:val="DefaultParagraphFont"/>
    <w:link w:val="Heading9"/>
    <w:rsid w:val="005555A0"/>
    <w:rPr>
      <w:rFonts w:ascii="Verdana" w:eastAsia="Times New Roman" w:hAnsi="Verdana" w:cs="Arial"/>
      <w:sz w:val="18"/>
      <w:szCs w:val="22"/>
      <w:lang w:val="en-US"/>
    </w:rPr>
  </w:style>
  <w:style w:type="paragraph" w:styleId="BodyText">
    <w:name w:val="Body Text"/>
    <w:basedOn w:val="Normal"/>
    <w:link w:val="BodyTextChar"/>
    <w:qFormat/>
    <w:rsid w:val="005555A0"/>
    <w:pPr>
      <w:spacing w:after="240" w:line="300" w:lineRule="auto"/>
    </w:pPr>
    <w:rPr>
      <w:rFonts w:ascii="Verdana" w:hAnsi="Verdana"/>
      <w:sz w:val="16"/>
      <w:lang w:val="en-US" w:eastAsia="en-US"/>
    </w:rPr>
  </w:style>
  <w:style w:type="character" w:customStyle="1" w:styleId="BodyTextChar">
    <w:name w:val="Body Text Char"/>
    <w:basedOn w:val="DefaultParagraphFont"/>
    <w:link w:val="BodyText"/>
    <w:rsid w:val="005555A0"/>
    <w:rPr>
      <w:rFonts w:ascii="Verdana" w:eastAsiaTheme="minorEastAsia" w:hAnsi="Verdana"/>
      <w:sz w:val="16"/>
      <w:szCs w:val="22"/>
      <w:lang w:val="en-US"/>
    </w:rPr>
  </w:style>
  <w:style w:type="paragraph" w:styleId="FootnoteText">
    <w:name w:val="footnote text"/>
    <w:basedOn w:val="BodyText"/>
    <w:link w:val="FootnoteTextChar"/>
    <w:semiHidden/>
    <w:rsid w:val="005555A0"/>
    <w:pPr>
      <w:tabs>
        <w:tab w:val="left" w:pos="198"/>
      </w:tabs>
      <w:spacing w:after="0"/>
    </w:pPr>
    <w:rPr>
      <w:sz w:val="14"/>
      <w:szCs w:val="20"/>
    </w:rPr>
  </w:style>
  <w:style w:type="character" w:customStyle="1" w:styleId="FootnoteTextChar">
    <w:name w:val="Footnote Text Char"/>
    <w:basedOn w:val="DefaultParagraphFont"/>
    <w:link w:val="FootnoteText"/>
    <w:semiHidden/>
    <w:rsid w:val="005555A0"/>
    <w:rPr>
      <w:rFonts w:ascii="Verdana" w:eastAsiaTheme="minorEastAsia" w:hAnsi="Verdana"/>
      <w:sz w:val="14"/>
      <w:szCs w:val="20"/>
      <w:lang w:val="en-US"/>
    </w:rPr>
  </w:style>
  <w:style w:type="paragraph" w:customStyle="1" w:styleId="Overskrift">
    <w:name w:val="Overskrift"/>
    <w:basedOn w:val="BodyText"/>
    <w:rsid w:val="005555A0"/>
    <w:pPr>
      <w:spacing w:after="60"/>
    </w:pPr>
    <w:rPr>
      <w:b/>
      <w:sz w:val="24"/>
      <w:lang w:val="en-GB"/>
    </w:rPr>
  </w:style>
  <w:style w:type="character" w:styleId="FootnoteReference">
    <w:name w:val="footnote reference"/>
    <w:basedOn w:val="DefaultParagraphFont"/>
    <w:uiPriority w:val="99"/>
    <w:semiHidden/>
    <w:unhideWhenUsed/>
    <w:rsid w:val="005555A0"/>
    <w:rPr>
      <w:vertAlign w:val="superscript"/>
    </w:rPr>
  </w:style>
  <w:style w:type="table" w:styleId="TableGrid">
    <w:name w:val="Table Grid"/>
    <w:basedOn w:val="TableNormal"/>
    <w:uiPriority w:val="59"/>
    <w:rsid w:val="005555A0"/>
    <w:rPr>
      <w:rFonts w:eastAsiaTheme="minorEastAsia"/>
      <w:sz w:val="22"/>
      <w:szCs w:val="22"/>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5A0"/>
    <w:rPr>
      <w:color w:val="0563C1" w:themeColor="hyperlink"/>
      <w:u w:val="single"/>
    </w:rPr>
  </w:style>
  <w:style w:type="paragraph" w:styleId="ListParagraph">
    <w:name w:val="List Paragraph"/>
    <w:basedOn w:val="Normal"/>
    <w:uiPriority w:val="34"/>
    <w:qFormat/>
    <w:rsid w:val="005555A0"/>
    <w:pPr>
      <w:spacing w:line="720" w:lineRule="auto"/>
      <w:ind w:left="720"/>
      <w:contextualSpacing/>
    </w:pPr>
    <w:rPr>
      <w:rFonts w:eastAsiaTheme="minorHAnsi"/>
      <w:lang w:eastAsia="en-US"/>
    </w:rPr>
  </w:style>
  <w:style w:type="table" w:styleId="ListTable3-Accent1">
    <w:name w:val="List Table 3 Accent 1"/>
    <w:basedOn w:val="TableNormal"/>
    <w:uiPriority w:val="48"/>
    <w:rsid w:val="005555A0"/>
    <w:rPr>
      <w:rFonts w:eastAsiaTheme="minorEastAsia"/>
      <w:sz w:val="22"/>
      <w:szCs w:val="22"/>
      <w:lang w:val="nb-NO" w:eastAsia="nb-NO"/>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www.newsweb.no"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www.newsweb.no" TargetMode="External"/><Relationship Id="rId17" Type="http://schemas.openxmlformats.org/officeDocument/2006/relationships/image" Target="media/image6.sv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lobors.no" TargetMode="External"/><Relationship Id="rId5" Type="http://schemas.openxmlformats.org/officeDocument/2006/relationships/footnotes" Target="footnotes.xml"/><Relationship Id="rId15" Type="http://schemas.openxmlformats.org/officeDocument/2006/relationships/image" Target="media/image4.svg"/><Relationship Id="rId10" Type="http://schemas.openxmlformats.org/officeDocument/2006/relationships/hyperlink" Target="http://www.newsweb.n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ewsweb.no" TargetMode="External"/><Relationship Id="rId14" Type="http://schemas.openxmlformats.org/officeDocument/2006/relationships/image" Target="media/image3.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D432CE7244B409A76C38E51B114B2" ma:contentTypeVersion="13" ma:contentTypeDescription="Create a new document." ma:contentTypeScope="" ma:versionID="1d699fd09a3326e5af8f0fc440ea7a1b">
  <xsd:schema xmlns:xsd="http://www.w3.org/2001/XMLSchema" xmlns:xs="http://www.w3.org/2001/XMLSchema" xmlns:p="http://schemas.microsoft.com/office/2006/metadata/properties" xmlns:ns2="6d9d7403-2d8c-4818-ae25-2c5629bc7330" xmlns:ns3="d8ecf516-e360-4672-81b9-68723bedb71f" targetNamespace="http://schemas.microsoft.com/office/2006/metadata/properties" ma:root="true" ma:fieldsID="0ea1add46b20a5f9177c38489692cd44" ns2:_="" ns3:_="">
    <xsd:import namespace="6d9d7403-2d8c-4818-ae25-2c5629bc7330"/>
    <xsd:import namespace="d8ecf516-e360-4672-81b9-68723bedb7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d7403-2d8c-4818-ae25-2c5629bc7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ecf516-e360-4672-81b9-68723bedb7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BA80C-9DC2-431D-828C-71E28C1EDCC8}"/>
</file>

<file path=customXml/itemProps2.xml><?xml version="1.0" encoding="utf-8"?>
<ds:datastoreItem xmlns:ds="http://schemas.openxmlformats.org/officeDocument/2006/customXml" ds:itemID="{52CB45D1-8B14-477A-BCF9-A5BFCD6F9EFE}"/>
</file>

<file path=customXml/itemProps3.xml><?xml version="1.0" encoding="utf-8"?>
<ds:datastoreItem xmlns:ds="http://schemas.openxmlformats.org/officeDocument/2006/customXml" ds:itemID="{CD6E4E95-917D-4DE2-96A7-AFD2B8CDEE86}"/>
</file>

<file path=docProps/app.xml><?xml version="1.0" encoding="utf-8"?>
<Properties xmlns="http://schemas.openxmlformats.org/officeDocument/2006/extended-properties" xmlns:vt="http://schemas.openxmlformats.org/officeDocument/2006/docPropsVTypes">
  <Template>Normal.dotm</Template>
  <TotalTime>0</TotalTime>
  <Pages>6</Pages>
  <Words>2987</Words>
  <Characters>17026</Characters>
  <Application>Microsoft Office Word</Application>
  <DocSecurity>0</DocSecurity>
  <Lines>141</Lines>
  <Paragraphs>39</Paragraphs>
  <ScaleCrop>false</ScaleCrop>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Faeste</dc:creator>
  <cp:keywords/>
  <dc:description/>
  <cp:lastModifiedBy>Harald Faeste</cp:lastModifiedBy>
  <cp:revision>1</cp:revision>
  <dcterms:created xsi:type="dcterms:W3CDTF">2021-05-14T15:10:00Z</dcterms:created>
  <dcterms:modified xsi:type="dcterms:W3CDTF">2021-05-14T15:11:00Z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0x010100BE8D432CE7244B409A76C38E51B114B2</vt:lpwstr>
  </property>
</Properties>
</file>